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A8" w:rsidRDefault="009D1BA8" w:rsidP="00B21848"/>
    <w:p w:rsidR="00B21848" w:rsidRPr="00874ED6" w:rsidRDefault="001110DD" w:rsidP="00B21848">
      <w:r w:rsidRPr="00874ED6">
        <w:tab/>
      </w:r>
      <w:r w:rsidRPr="00874ED6">
        <w:tab/>
      </w:r>
      <w:r w:rsidRPr="00874ED6">
        <w:tab/>
      </w:r>
      <w:r w:rsidRPr="00874ED6">
        <w:tab/>
      </w:r>
    </w:p>
    <w:p w:rsidR="008E1877" w:rsidRDefault="00EC6179" w:rsidP="00B21848">
      <w:pPr>
        <w:rPr>
          <w:b/>
          <w:sz w:val="22"/>
          <w:szCs w:val="22"/>
        </w:rPr>
      </w:pPr>
      <w:r>
        <w:rPr>
          <w:b/>
          <w:sz w:val="22"/>
          <w:szCs w:val="22"/>
        </w:rPr>
        <w:t xml:space="preserve">In the framework of the </w:t>
      </w:r>
      <w:proofErr w:type="spellStart"/>
      <w:r>
        <w:rPr>
          <w:b/>
          <w:sz w:val="22"/>
          <w:szCs w:val="22"/>
        </w:rPr>
        <w:t>Yuzivska</w:t>
      </w:r>
      <w:proofErr w:type="spellEnd"/>
      <w:r>
        <w:rPr>
          <w:b/>
          <w:sz w:val="22"/>
          <w:szCs w:val="22"/>
        </w:rPr>
        <w:t xml:space="preserve"> Production Sharing Agreement as of 24.01.2013, Shell Exploration and Production Ukraine Investments (IY) B.V. in association with the British Council (hereinafter – the Organisers) hereby invite to call for proposal</w:t>
      </w:r>
      <w:r w:rsidR="008E1877">
        <w:rPr>
          <w:b/>
          <w:sz w:val="22"/>
          <w:szCs w:val="22"/>
        </w:rPr>
        <w:t>s</w:t>
      </w:r>
      <w:r>
        <w:rPr>
          <w:b/>
          <w:sz w:val="22"/>
          <w:szCs w:val="22"/>
        </w:rPr>
        <w:t xml:space="preserve"> within the framework of “</w:t>
      </w:r>
      <w:r w:rsidR="008E1877">
        <w:rPr>
          <w:b/>
          <w:sz w:val="22"/>
          <w:szCs w:val="22"/>
        </w:rPr>
        <w:t>Ukrainian</w:t>
      </w:r>
      <w:r>
        <w:rPr>
          <w:b/>
          <w:sz w:val="22"/>
          <w:szCs w:val="22"/>
        </w:rPr>
        <w:t xml:space="preserve"> Unconventional Gas Institute” project  (hereinafter – the Call) in accordance with terms and conditions below.</w:t>
      </w:r>
    </w:p>
    <w:p w:rsidR="001110DD" w:rsidRPr="00874ED6" w:rsidRDefault="001110DD" w:rsidP="00B21848">
      <w:pPr>
        <w:rPr>
          <w:b/>
          <w:bCs/>
        </w:rPr>
      </w:pPr>
    </w:p>
    <w:p w:rsidR="00097314" w:rsidRPr="00874ED6" w:rsidRDefault="00EC6179" w:rsidP="00B21848">
      <w:pPr>
        <w:rPr>
          <w:b/>
          <w:bCs/>
        </w:rPr>
      </w:pPr>
      <w:r>
        <w:rPr>
          <w:b/>
          <w:bCs/>
        </w:rPr>
        <w:t>1. Objectives of the call</w:t>
      </w:r>
    </w:p>
    <w:p w:rsidR="00097314" w:rsidRPr="00874ED6" w:rsidRDefault="00097314" w:rsidP="00B21848">
      <w:pPr>
        <w:rPr>
          <w:b/>
          <w:bCs/>
        </w:rPr>
      </w:pPr>
    </w:p>
    <w:p w:rsidR="00065C6F" w:rsidRDefault="00EC6179" w:rsidP="00CF6910">
      <w:r>
        <w:t xml:space="preserve">Objectives of the call </w:t>
      </w:r>
      <w:r w:rsidR="008E1877">
        <w:t>–</w:t>
      </w:r>
      <w:r>
        <w:t xml:space="preserve"> choice</w:t>
      </w:r>
      <w:r w:rsidR="008E1877">
        <w:t xml:space="preserve"> of the best, in Organiser’s view</w:t>
      </w:r>
      <w:r w:rsidR="00A35F06">
        <w:t>, proposals in</w:t>
      </w:r>
      <w:r w:rsidR="008E1877">
        <w:t xml:space="preserve"> the sphere of exploration and productions of unconventional hydrocarbons, as well as exchange of experience, improving knowledge, skills and qualification of specialists and personnel involved in the sphere.</w:t>
      </w:r>
      <w:r w:rsidR="00065C6F">
        <w:t xml:space="preserve"> </w:t>
      </w:r>
    </w:p>
    <w:p w:rsidR="007252D8" w:rsidRDefault="002F5EE2" w:rsidP="00CF6910">
      <w:r>
        <w:t xml:space="preserve">For this call, priority will be given to applications around the </w:t>
      </w:r>
      <w:r w:rsidR="007252D8">
        <w:t>following subject areas:</w:t>
      </w:r>
    </w:p>
    <w:p w:rsidR="007252D8" w:rsidRDefault="00041105" w:rsidP="007252D8">
      <w:pPr>
        <w:numPr>
          <w:ilvl w:val="0"/>
          <w:numId w:val="19"/>
        </w:numPr>
      </w:pPr>
      <w:r>
        <w:t>Natural g</w:t>
      </w:r>
      <w:r w:rsidR="007252D8">
        <w:t xml:space="preserve">as </w:t>
      </w:r>
      <w:r>
        <w:t>as</w:t>
      </w:r>
      <w:r w:rsidR="007252D8">
        <w:t xml:space="preserve"> a </w:t>
      </w:r>
      <w:r>
        <w:t>s</w:t>
      </w:r>
      <w:r w:rsidR="007252D8">
        <w:t xml:space="preserve">ource of </w:t>
      </w:r>
      <w:r>
        <w:t>e</w:t>
      </w:r>
      <w:r w:rsidR="007252D8">
        <w:t>nergy in Ukraine</w:t>
      </w:r>
      <w:r w:rsidR="00A35F06">
        <w:t>;</w:t>
      </w:r>
    </w:p>
    <w:p w:rsidR="00CF6910" w:rsidRDefault="007252D8" w:rsidP="007252D8">
      <w:pPr>
        <w:numPr>
          <w:ilvl w:val="0"/>
          <w:numId w:val="19"/>
        </w:numPr>
      </w:pPr>
      <w:r>
        <w:t xml:space="preserve">Best </w:t>
      </w:r>
      <w:r w:rsidR="00041105">
        <w:t>global practices for environment protection in the course of implementation of projects for exploration and production of unconventional hydrocarbons</w:t>
      </w:r>
      <w:r w:rsidR="00A35F06">
        <w:t>;</w:t>
      </w:r>
    </w:p>
    <w:p w:rsidR="007252D8" w:rsidRDefault="00041105" w:rsidP="007252D8">
      <w:pPr>
        <w:numPr>
          <w:ilvl w:val="0"/>
          <w:numId w:val="19"/>
        </w:numPr>
      </w:pPr>
      <w:r>
        <w:t>Social and economic benefits fr</w:t>
      </w:r>
      <w:r w:rsidR="00AD298F">
        <w:t>o</w:t>
      </w:r>
      <w:r>
        <w:t>m implementation of projects for exploration and production of unconventional hydrocarbons for local communities, districts and region.</w:t>
      </w:r>
    </w:p>
    <w:p w:rsidR="00A97A9F" w:rsidRDefault="00A97A9F" w:rsidP="00CF6910"/>
    <w:p w:rsidR="002F5EE2" w:rsidRDefault="002E2A95" w:rsidP="00CF6910">
      <w:pPr>
        <w:rPr>
          <w:b/>
        </w:rPr>
      </w:pPr>
      <w:r>
        <w:rPr>
          <w:b/>
        </w:rPr>
        <w:t xml:space="preserve">2. </w:t>
      </w:r>
      <w:r w:rsidR="00041105">
        <w:rPr>
          <w:b/>
        </w:rPr>
        <w:t>General Call Information</w:t>
      </w:r>
    </w:p>
    <w:p w:rsidR="002E2A95" w:rsidRDefault="002E2A95" w:rsidP="00CF6910"/>
    <w:p w:rsidR="00DF2D4F" w:rsidRDefault="002E2A95" w:rsidP="00CF6910">
      <w:r>
        <w:t xml:space="preserve">2.1 </w:t>
      </w:r>
      <w:r w:rsidR="0095350D">
        <w:t xml:space="preserve">Ukrainian </w:t>
      </w:r>
      <w:r w:rsidR="00DF2D4F" w:rsidRPr="002F5EE2">
        <w:t>U</w:t>
      </w:r>
      <w:r w:rsidR="00DF2D4F">
        <w:t xml:space="preserve">nconventional Gas Institute </w:t>
      </w:r>
      <w:r w:rsidR="00041105">
        <w:t xml:space="preserve">(hereinafter – the UGI) is a project fulfilled by </w:t>
      </w:r>
      <w:r w:rsidR="00A35F06">
        <w:t>Shell Exploration</w:t>
      </w:r>
      <w:r w:rsidR="00DF2D4F">
        <w:t xml:space="preserve"> and Production Ukraine Investments (IV) B.V.</w:t>
      </w:r>
      <w:r w:rsidR="00041105">
        <w:t xml:space="preserve"> aimed at promoting, exploration of unconventional hydrocarbons in Ukraine.</w:t>
      </w:r>
      <w:r w:rsidR="007D76F2">
        <w:t xml:space="preserve"> Non-technical component</w:t>
      </w:r>
      <w:r w:rsidR="004345E1">
        <w:t xml:space="preserve"> of</w:t>
      </w:r>
      <w:r w:rsidR="00A35F06">
        <w:t xml:space="preserve"> the UGI is aimed at raising awareness and research of industry’s economic, environmental and social influence over the state, regional and local development.</w:t>
      </w:r>
      <w:r w:rsidR="004345E1">
        <w:t xml:space="preserve"> </w:t>
      </w:r>
    </w:p>
    <w:p w:rsidR="000B5C05" w:rsidRDefault="000B5C05" w:rsidP="00CF6910"/>
    <w:p w:rsidR="004345E1" w:rsidRDefault="002E2A95" w:rsidP="00CF6910">
      <w:r>
        <w:t xml:space="preserve">2.2 </w:t>
      </w:r>
      <w:r w:rsidR="00A35F06">
        <w:t>The key Call principles:</w:t>
      </w:r>
    </w:p>
    <w:p w:rsidR="000B5C05" w:rsidRDefault="000B5C05" w:rsidP="000B5C05">
      <w:pPr>
        <w:numPr>
          <w:ilvl w:val="0"/>
          <w:numId w:val="19"/>
        </w:numPr>
      </w:pPr>
      <w:r>
        <w:t xml:space="preserve">scientific approach to </w:t>
      </w:r>
      <w:r w:rsidR="00A35F06">
        <w:t xml:space="preserve">acquisition of new data, promoting </w:t>
      </w:r>
      <w:r>
        <w:t>scientific</w:t>
      </w:r>
      <w:r w:rsidR="00AC0641">
        <w:t xml:space="preserve"> and technical</w:t>
      </w:r>
      <w:r>
        <w:t xml:space="preserve"> progress, social and economic development of the society</w:t>
      </w:r>
      <w:r w:rsidR="00A35F06">
        <w:t xml:space="preserve"> at large and local communities</w:t>
      </w:r>
      <w:r w:rsidR="00913682">
        <w:t>;</w:t>
      </w:r>
    </w:p>
    <w:p w:rsidR="000B5C05" w:rsidRDefault="000B5C05" w:rsidP="000B5C05">
      <w:pPr>
        <w:numPr>
          <w:ilvl w:val="0"/>
          <w:numId w:val="19"/>
        </w:numPr>
      </w:pPr>
      <w:r>
        <w:t>us</w:t>
      </w:r>
      <w:r w:rsidR="00A35F06">
        <w:t>e of Ukraine’s current technical and scientific potential;</w:t>
      </w:r>
    </w:p>
    <w:p w:rsidR="000B5C05" w:rsidRDefault="00A35F06" w:rsidP="000B5C05">
      <w:pPr>
        <w:numPr>
          <w:ilvl w:val="0"/>
          <w:numId w:val="19"/>
        </w:numPr>
      </w:pPr>
      <w:r>
        <w:t>constant</w:t>
      </w:r>
      <w:r w:rsidR="000B5C05">
        <w:t xml:space="preserve"> accumulation of the knowledge</w:t>
      </w:r>
      <w:r>
        <w:t xml:space="preserve"> gained</w:t>
      </w:r>
      <w:r w:rsidR="000B5C05">
        <w:t xml:space="preserve">, generalization of scientific achievements and </w:t>
      </w:r>
      <w:r>
        <w:t>distribution thereof  to the public;</w:t>
      </w:r>
    </w:p>
    <w:p w:rsidR="00A35F06" w:rsidRDefault="00A35F06" w:rsidP="000B5C05">
      <w:pPr>
        <w:numPr>
          <w:ilvl w:val="0"/>
          <w:numId w:val="19"/>
        </w:numPr>
      </w:pPr>
      <w:r>
        <w:t>institutions, located within the territories of immediate activities of Shell projects (</w:t>
      </w:r>
      <w:proofErr w:type="spellStart"/>
      <w:r>
        <w:t>Kharkiv</w:t>
      </w:r>
      <w:proofErr w:type="spellEnd"/>
      <w:r>
        <w:t xml:space="preserve"> and Donetsk regions) will be given preference</w:t>
      </w:r>
      <w:r w:rsidR="00913682">
        <w:t>;</w:t>
      </w:r>
    </w:p>
    <w:p w:rsidR="00A35F06" w:rsidRDefault="00A35F06" w:rsidP="000B5C05">
      <w:pPr>
        <w:numPr>
          <w:ilvl w:val="0"/>
          <w:numId w:val="19"/>
        </w:numPr>
      </w:pPr>
      <w:r>
        <w:t>transparency, fulfilment of Laws as well as Shell Business Principles and Standards</w:t>
      </w:r>
    </w:p>
    <w:p w:rsidR="00DA4678" w:rsidRDefault="00DA4678" w:rsidP="00097314"/>
    <w:p w:rsidR="00097314" w:rsidRDefault="002E2A95" w:rsidP="00B21848">
      <w:pPr>
        <w:rPr>
          <w:b/>
          <w:bCs/>
        </w:rPr>
      </w:pPr>
      <w:r>
        <w:rPr>
          <w:b/>
          <w:bCs/>
        </w:rPr>
        <w:t>3. Amount of Reward and date of Announcement of Call results.</w:t>
      </w:r>
    </w:p>
    <w:p w:rsidR="002E2A95" w:rsidRDefault="002E2A95" w:rsidP="00B21848">
      <w:pPr>
        <w:rPr>
          <w:b/>
          <w:bCs/>
        </w:rPr>
      </w:pPr>
    </w:p>
    <w:p w:rsidR="002F5EE2" w:rsidRPr="002F5EE2" w:rsidRDefault="002E2A95" w:rsidP="00527058">
      <w:r>
        <w:rPr>
          <w:bCs/>
        </w:rPr>
        <w:t xml:space="preserve">3.1 The </w:t>
      </w:r>
      <w:r w:rsidR="00913682">
        <w:rPr>
          <w:bCs/>
        </w:rPr>
        <w:t>amount of r</w:t>
      </w:r>
      <w:r w:rsidRPr="002E2A95">
        <w:rPr>
          <w:bCs/>
        </w:rPr>
        <w:t>eward</w:t>
      </w:r>
      <w:r w:rsidR="00913682">
        <w:rPr>
          <w:bCs/>
        </w:rPr>
        <w:t xml:space="preserve"> for each legal entity winning project will range between USD 10,000 and 50,000. Call results w</w:t>
      </w:r>
      <w:r w:rsidR="00420DBB" w:rsidRPr="00874ED6">
        <w:t>ill</w:t>
      </w:r>
      <w:r w:rsidR="00B21848" w:rsidRPr="00874ED6">
        <w:t xml:space="preserve"> be </w:t>
      </w:r>
      <w:r w:rsidR="00913682">
        <w:t>announced</w:t>
      </w:r>
      <w:r w:rsidR="001110DD" w:rsidRPr="00874ED6">
        <w:t xml:space="preserve"> </w:t>
      </w:r>
      <w:r w:rsidR="0004399F" w:rsidRPr="00874ED6">
        <w:t xml:space="preserve">by </w:t>
      </w:r>
      <w:r w:rsidR="0095350D" w:rsidRPr="00067743">
        <w:rPr>
          <w:b/>
        </w:rPr>
        <w:t>10</w:t>
      </w:r>
      <w:r w:rsidR="00052E7A" w:rsidRPr="00067743">
        <w:rPr>
          <w:b/>
          <w:vertAlign w:val="superscript"/>
        </w:rPr>
        <w:t xml:space="preserve">th </w:t>
      </w:r>
      <w:r w:rsidR="00052E7A" w:rsidRPr="00067743">
        <w:rPr>
          <w:b/>
        </w:rPr>
        <w:t>June</w:t>
      </w:r>
      <w:r w:rsidR="007E26EF" w:rsidRPr="00067743">
        <w:rPr>
          <w:b/>
        </w:rPr>
        <w:t xml:space="preserve"> 201</w:t>
      </w:r>
      <w:r w:rsidR="00BB6D7D" w:rsidRPr="00067743">
        <w:rPr>
          <w:b/>
        </w:rPr>
        <w:t>4</w:t>
      </w:r>
      <w:r w:rsidR="007E26EF" w:rsidRPr="00067743">
        <w:t>.</w:t>
      </w:r>
      <w:r w:rsidR="002F5EE2" w:rsidRPr="00067743">
        <w:t xml:space="preserve"> </w:t>
      </w:r>
    </w:p>
    <w:p w:rsidR="002F5EE2" w:rsidRPr="002F5EE2" w:rsidRDefault="002F5EE2" w:rsidP="00527058"/>
    <w:p w:rsidR="00097314" w:rsidRPr="00874ED6" w:rsidRDefault="00913682" w:rsidP="00527058">
      <w:pPr>
        <w:rPr>
          <w:b/>
          <w:bCs/>
        </w:rPr>
      </w:pPr>
      <w:r>
        <w:rPr>
          <w:b/>
        </w:rPr>
        <w:t>4. Call project proposals’ submission perio</w:t>
      </w:r>
      <w:r w:rsidR="00D52394">
        <w:rPr>
          <w:b/>
        </w:rPr>
        <w:t>d</w:t>
      </w:r>
    </w:p>
    <w:p w:rsidR="00011B89" w:rsidRPr="00067743" w:rsidRDefault="00011B89" w:rsidP="00011B89"/>
    <w:p w:rsidR="00B21848" w:rsidRDefault="00913682" w:rsidP="00B90065">
      <w:pPr>
        <w:rPr>
          <w:color w:val="FF0000"/>
        </w:rPr>
      </w:pPr>
      <w:r>
        <w:t xml:space="preserve">4.1 </w:t>
      </w:r>
      <w:r w:rsidR="0004399F" w:rsidRPr="00874ED6">
        <w:t>The d</w:t>
      </w:r>
      <w:r w:rsidR="00B21848" w:rsidRPr="00874ED6">
        <w:t>eadline for</w:t>
      </w:r>
      <w:r>
        <w:t xml:space="preserve"> project proposals </w:t>
      </w:r>
      <w:r w:rsidR="0004399F" w:rsidRPr="00874ED6">
        <w:t xml:space="preserve">submission </w:t>
      </w:r>
      <w:r w:rsidR="005C2FB9">
        <w:t xml:space="preserve">is </w:t>
      </w:r>
      <w:r w:rsidR="005C2FB9" w:rsidRPr="00067743">
        <w:rPr>
          <w:b/>
        </w:rPr>
        <w:t>May</w:t>
      </w:r>
      <w:r w:rsidR="00236C90" w:rsidRPr="00067743">
        <w:rPr>
          <w:b/>
        </w:rPr>
        <w:t xml:space="preserve"> </w:t>
      </w:r>
      <w:r w:rsidR="0095350D" w:rsidRPr="00067743">
        <w:rPr>
          <w:b/>
        </w:rPr>
        <w:t>14</w:t>
      </w:r>
      <w:r w:rsidR="00236C90" w:rsidRPr="00067743">
        <w:rPr>
          <w:b/>
          <w:vertAlign w:val="superscript"/>
        </w:rPr>
        <w:t xml:space="preserve">th </w:t>
      </w:r>
      <w:r w:rsidR="00562D96" w:rsidRPr="00067743">
        <w:rPr>
          <w:b/>
        </w:rPr>
        <w:t xml:space="preserve"> </w:t>
      </w:r>
      <w:r w:rsidR="005C2FB9" w:rsidRPr="00067743">
        <w:rPr>
          <w:b/>
        </w:rPr>
        <w:t xml:space="preserve"> </w:t>
      </w:r>
      <w:r w:rsidR="00562D96" w:rsidRPr="00067743">
        <w:rPr>
          <w:b/>
        </w:rPr>
        <w:t>2014</w:t>
      </w:r>
      <w:r w:rsidR="00097314" w:rsidRPr="005C2FB9">
        <w:rPr>
          <w:color w:val="FF0000"/>
        </w:rPr>
        <w:t>.</w:t>
      </w:r>
    </w:p>
    <w:p w:rsidR="005C2FB9" w:rsidRDefault="00236C90" w:rsidP="00B90065">
      <w:r w:rsidRPr="00236C90">
        <w:t xml:space="preserve">The </w:t>
      </w:r>
      <w:r w:rsidR="00913682">
        <w:t xml:space="preserve">project </w:t>
      </w:r>
      <w:r w:rsidRPr="00236C90">
        <w:t xml:space="preserve">proposals </w:t>
      </w:r>
      <w:r w:rsidR="00913682">
        <w:t xml:space="preserve">received </w:t>
      </w:r>
      <w:r w:rsidRPr="00236C90">
        <w:t xml:space="preserve">after the </w:t>
      </w:r>
      <w:r w:rsidR="005C2FB9" w:rsidRPr="00236C90">
        <w:t>deadlin</w:t>
      </w:r>
      <w:r w:rsidR="005C2FB9">
        <w:t>e</w:t>
      </w:r>
      <w:r w:rsidR="00913682">
        <w:t xml:space="preserve"> will not be considered, unless an applicant substantiates</w:t>
      </w:r>
      <w:r w:rsidR="005C2FB9">
        <w:t xml:space="preserve"> </w:t>
      </w:r>
      <w:r w:rsidRPr="00236C90">
        <w:t xml:space="preserve">the </w:t>
      </w:r>
      <w:r w:rsidR="00D52394">
        <w:t xml:space="preserve">overdue </w:t>
      </w:r>
      <w:r w:rsidR="00D52394" w:rsidRPr="00236C90">
        <w:t>submission</w:t>
      </w:r>
      <w:r w:rsidR="00D52394">
        <w:t xml:space="preserve"> in writing and the substantiation is deemed acceptable by the Call organisers.</w:t>
      </w:r>
    </w:p>
    <w:p w:rsidR="00B21848" w:rsidRPr="00874ED6" w:rsidRDefault="00B21848" w:rsidP="00B21848"/>
    <w:p w:rsidR="00B21848" w:rsidRDefault="00F27C86" w:rsidP="00B21848">
      <w:pPr>
        <w:rPr>
          <w:b/>
          <w:bCs/>
        </w:rPr>
      </w:pPr>
      <w:r>
        <w:rPr>
          <w:b/>
          <w:bCs/>
        </w:rPr>
        <w:t>5. Pre-qualification Requirements</w:t>
      </w:r>
    </w:p>
    <w:p w:rsidR="00F27C86" w:rsidRDefault="00F27C86" w:rsidP="00B21848">
      <w:pPr>
        <w:rPr>
          <w:b/>
          <w:bCs/>
        </w:rPr>
      </w:pPr>
    </w:p>
    <w:p w:rsidR="00236C90" w:rsidRDefault="00F27C86" w:rsidP="00F27C86">
      <w:pPr>
        <w:autoSpaceDE w:val="0"/>
        <w:autoSpaceDN w:val="0"/>
        <w:adjustRightInd w:val="0"/>
        <w:rPr>
          <w:color w:val="000000"/>
          <w:lang w:val="en-US"/>
        </w:rPr>
      </w:pPr>
      <w:r w:rsidRPr="00F27C86">
        <w:rPr>
          <w:bCs/>
        </w:rPr>
        <w:t xml:space="preserve">5.1 </w:t>
      </w:r>
      <w:r>
        <w:rPr>
          <w:bCs/>
        </w:rPr>
        <w:t>P</w:t>
      </w:r>
      <w:r w:rsidRPr="00F27C86">
        <w:rPr>
          <w:bCs/>
        </w:rPr>
        <w:t>articipation in the Call is possible only for legal entities, dully registered as per current legislation</w:t>
      </w:r>
      <w:r>
        <w:rPr>
          <w:bCs/>
        </w:rPr>
        <w:t xml:space="preserve"> of Ukraine </w:t>
      </w:r>
      <w:r>
        <w:rPr>
          <w:color w:val="000000"/>
          <w:lang w:val="en-US"/>
        </w:rPr>
        <w:t>(u</w:t>
      </w:r>
      <w:r w:rsidR="00236C90" w:rsidRPr="00236C90">
        <w:rPr>
          <w:color w:val="000000"/>
          <w:lang w:val="en-US"/>
        </w:rPr>
        <w:t xml:space="preserve">niversities, </w:t>
      </w:r>
      <w:r>
        <w:rPr>
          <w:color w:val="000000"/>
          <w:lang w:val="en-US"/>
        </w:rPr>
        <w:t>scientific-research i</w:t>
      </w:r>
      <w:r w:rsidR="00236C90" w:rsidRPr="00236C90">
        <w:rPr>
          <w:color w:val="000000"/>
          <w:lang w:val="en-US"/>
        </w:rPr>
        <w:t xml:space="preserve">nstitutions, </w:t>
      </w:r>
      <w:r w:rsidR="00036065">
        <w:rPr>
          <w:color w:val="000000"/>
          <w:lang w:val="en-US"/>
        </w:rPr>
        <w:t>non-governmental</w:t>
      </w:r>
      <w:r w:rsidR="00B2336F">
        <w:rPr>
          <w:color w:val="000000"/>
          <w:lang w:val="en-US"/>
        </w:rPr>
        <w:t xml:space="preserve"> </w:t>
      </w:r>
      <w:r>
        <w:rPr>
          <w:color w:val="000000"/>
          <w:lang w:val="en-US"/>
        </w:rPr>
        <w:t>organisations, think tanks, etc.</w:t>
      </w:r>
      <w:r w:rsidR="00236C90" w:rsidRPr="00236C90">
        <w:rPr>
          <w:color w:val="000000"/>
          <w:lang w:val="en-US"/>
        </w:rPr>
        <w:t xml:space="preserve">) </w:t>
      </w:r>
      <w:r>
        <w:rPr>
          <w:color w:val="000000"/>
          <w:lang w:val="en-US"/>
        </w:rPr>
        <w:t xml:space="preserve"> </w:t>
      </w:r>
      <w:proofErr w:type="gramStart"/>
      <w:r>
        <w:rPr>
          <w:color w:val="000000"/>
          <w:lang w:val="en-US"/>
        </w:rPr>
        <w:t>capable</w:t>
      </w:r>
      <w:proofErr w:type="gramEnd"/>
      <w:r>
        <w:rPr>
          <w:color w:val="000000"/>
          <w:lang w:val="en-US"/>
        </w:rPr>
        <w:t xml:space="preserve"> of </w:t>
      </w:r>
      <w:r w:rsidR="00236C90" w:rsidRPr="00236C90">
        <w:rPr>
          <w:color w:val="000000"/>
          <w:lang w:val="en-US"/>
        </w:rPr>
        <w:t xml:space="preserve"> implement</w:t>
      </w:r>
      <w:r>
        <w:rPr>
          <w:color w:val="000000"/>
          <w:lang w:val="en-US"/>
        </w:rPr>
        <w:t>ing</w:t>
      </w:r>
      <w:r w:rsidR="00236C90" w:rsidRPr="00236C90">
        <w:rPr>
          <w:color w:val="000000"/>
          <w:lang w:val="en-US"/>
        </w:rPr>
        <w:t xml:space="preserve"> the project</w:t>
      </w:r>
      <w:r w:rsidR="00A4096A">
        <w:rPr>
          <w:color w:val="000000"/>
          <w:lang w:val="en-US"/>
        </w:rPr>
        <w:t xml:space="preserve"> </w:t>
      </w:r>
      <w:r w:rsidR="00236C90" w:rsidRPr="00236C90">
        <w:rPr>
          <w:color w:val="000000"/>
          <w:lang w:val="en-US"/>
        </w:rPr>
        <w:t>proposal</w:t>
      </w:r>
      <w:r>
        <w:rPr>
          <w:color w:val="000000"/>
          <w:lang w:val="en-US"/>
        </w:rPr>
        <w:t xml:space="preserve"> if awarded.</w:t>
      </w:r>
    </w:p>
    <w:p w:rsidR="00F27C86" w:rsidRDefault="00F27C86" w:rsidP="00052E7A">
      <w:pPr>
        <w:spacing w:after="100" w:afterAutospacing="1"/>
        <w:jc w:val="both"/>
        <w:rPr>
          <w:b/>
          <w:color w:val="000000"/>
          <w:lang w:val="en-US"/>
        </w:rPr>
      </w:pPr>
      <w:r w:rsidRPr="00F27C86">
        <w:rPr>
          <w:b/>
          <w:color w:val="000000"/>
          <w:lang w:val="en-US"/>
        </w:rPr>
        <w:lastRenderedPageBreak/>
        <w:t>6.  Basic Requirements to the Applicants</w:t>
      </w:r>
    </w:p>
    <w:p w:rsidR="00F27C86" w:rsidRDefault="00F27C86" w:rsidP="00052E7A">
      <w:pPr>
        <w:spacing w:after="100" w:afterAutospacing="1"/>
        <w:jc w:val="both"/>
        <w:rPr>
          <w:color w:val="000000"/>
          <w:lang w:val="en-US"/>
        </w:rPr>
      </w:pPr>
      <w:r w:rsidRPr="00F27C86">
        <w:rPr>
          <w:color w:val="000000"/>
          <w:lang w:val="en-US"/>
        </w:rPr>
        <w:t>1</w:t>
      </w:r>
      <w:r>
        <w:rPr>
          <w:color w:val="000000"/>
          <w:lang w:val="en-US"/>
        </w:rPr>
        <w:t>)</w:t>
      </w:r>
      <w:r w:rsidRPr="00F27C86">
        <w:rPr>
          <w:color w:val="000000"/>
          <w:lang w:val="en-US"/>
        </w:rPr>
        <w:t xml:space="preserve"> </w:t>
      </w:r>
      <w:proofErr w:type="gramStart"/>
      <w:r w:rsidRPr="00F27C86">
        <w:rPr>
          <w:color w:val="000000"/>
          <w:lang w:val="en-US"/>
        </w:rPr>
        <w:t>to</w:t>
      </w:r>
      <w:proofErr w:type="gramEnd"/>
      <w:r w:rsidRPr="00F27C86">
        <w:rPr>
          <w:color w:val="000000"/>
          <w:lang w:val="en-US"/>
        </w:rPr>
        <w:t xml:space="preserve"> be legal entity, dully registered under Ukrainian legislation</w:t>
      </w:r>
    </w:p>
    <w:p w:rsidR="00052E7A" w:rsidRPr="00052E7A" w:rsidRDefault="00F27C86" w:rsidP="00052E7A">
      <w:pPr>
        <w:spacing w:after="100" w:afterAutospacing="1"/>
        <w:jc w:val="both"/>
        <w:rPr>
          <w:color w:val="000000"/>
          <w:lang w:val="en-US"/>
        </w:rPr>
      </w:pPr>
      <w:r>
        <w:rPr>
          <w:color w:val="000000"/>
          <w:lang w:val="en-US"/>
        </w:rPr>
        <w:t xml:space="preserve">2) </w:t>
      </w:r>
      <w:proofErr w:type="gramStart"/>
      <w:r>
        <w:rPr>
          <w:color w:val="000000"/>
          <w:lang w:val="en-US"/>
        </w:rPr>
        <w:t>c</w:t>
      </w:r>
      <w:r w:rsidR="00052E7A" w:rsidRPr="00052E7A">
        <w:rPr>
          <w:color w:val="000000"/>
          <w:lang w:val="en-US"/>
        </w:rPr>
        <w:t>apacity</w:t>
      </w:r>
      <w:proofErr w:type="gramEnd"/>
      <w:r w:rsidR="00052E7A" w:rsidRPr="00052E7A">
        <w:rPr>
          <w:color w:val="000000"/>
          <w:lang w:val="en-US"/>
        </w:rPr>
        <w:t xml:space="preserve"> – ability to </w:t>
      </w:r>
      <w:r>
        <w:rPr>
          <w:color w:val="000000"/>
          <w:lang w:val="en-US"/>
        </w:rPr>
        <w:t>implement the project</w:t>
      </w:r>
      <w:r w:rsidR="00052E7A" w:rsidRPr="00052E7A">
        <w:rPr>
          <w:color w:val="000000"/>
          <w:lang w:val="en-US"/>
        </w:rPr>
        <w:t xml:space="preserve"> as proven by relevant staff, equipment, premises etc;</w:t>
      </w:r>
    </w:p>
    <w:p w:rsidR="00A4096A" w:rsidRDefault="00B2336F" w:rsidP="00052E7A">
      <w:pPr>
        <w:spacing w:after="100" w:afterAutospacing="1"/>
        <w:jc w:val="both"/>
      </w:pPr>
      <w:r>
        <w:rPr>
          <w:color w:val="000000"/>
          <w:lang w:val="en-US"/>
        </w:rPr>
        <w:t xml:space="preserve">3) </w:t>
      </w:r>
      <w:proofErr w:type="gramStart"/>
      <w:r w:rsidR="00052E7A" w:rsidRPr="00052E7A">
        <w:rPr>
          <w:color w:val="000000"/>
          <w:lang w:val="en-US"/>
        </w:rPr>
        <w:t>credibility</w:t>
      </w:r>
      <w:proofErr w:type="gramEnd"/>
      <w:r w:rsidR="00052E7A" w:rsidRPr="00052E7A">
        <w:rPr>
          <w:color w:val="000000"/>
          <w:lang w:val="en-US"/>
        </w:rPr>
        <w:t xml:space="preserve"> – involvement of </w:t>
      </w:r>
      <w:r w:rsidR="00F27C86">
        <w:rPr>
          <w:color w:val="000000"/>
          <w:lang w:val="en-US"/>
        </w:rPr>
        <w:t xml:space="preserve">known and </w:t>
      </w:r>
      <w:r w:rsidR="00052E7A" w:rsidRPr="00052E7A">
        <w:rPr>
          <w:color w:val="000000"/>
          <w:lang w:val="en-US"/>
        </w:rPr>
        <w:t xml:space="preserve">reputable </w:t>
      </w:r>
      <w:r w:rsidR="00C37DA8">
        <w:rPr>
          <w:color w:val="000000"/>
          <w:lang w:val="en-US"/>
        </w:rPr>
        <w:t>e</w:t>
      </w:r>
      <w:r w:rsidR="00052E7A" w:rsidRPr="00052E7A">
        <w:rPr>
          <w:color w:val="000000"/>
          <w:lang w:val="en-US"/>
        </w:rPr>
        <w:t>xperts</w:t>
      </w:r>
      <w:r w:rsidR="00C37DA8">
        <w:rPr>
          <w:color w:val="000000"/>
          <w:lang w:val="en-US"/>
        </w:rPr>
        <w:t xml:space="preserve"> capable of successful implementation of the project proposal and sharing its result with the wider public</w:t>
      </w:r>
    </w:p>
    <w:p w:rsidR="00C37DA8" w:rsidRDefault="00052E7A" w:rsidP="00025D6F">
      <w:pPr>
        <w:spacing w:after="100" w:afterAutospacing="1"/>
        <w:jc w:val="both"/>
      </w:pPr>
      <w:r w:rsidRPr="00052E7A">
        <w:t xml:space="preserve">The project proposals </w:t>
      </w:r>
      <w:r w:rsidR="00C37DA8">
        <w:t>shall be supported by the full submission of the following documentation:</w:t>
      </w:r>
    </w:p>
    <w:p w:rsidR="00C37DA8" w:rsidRPr="00C37DA8" w:rsidRDefault="00C37DA8" w:rsidP="00C37DA8">
      <w:pPr>
        <w:pStyle w:val="ListParagraph"/>
        <w:numPr>
          <w:ilvl w:val="0"/>
          <w:numId w:val="22"/>
        </w:numPr>
        <w:spacing w:after="100" w:afterAutospacing="1"/>
        <w:jc w:val="both"/>
        <w:rPr>
          <w:rFonts w:ascii="Arial" w:hAnsi="Arial" w:cs="Arial"/>
          <w:sz w:val="20"/>
          <w:szCs w:val="20"/>
        </w:rPr>
      </w:pPr>
      <w:r w:rsidRPr="00C37DA8">
        <w:rPr>
          <w:rFonts w:ascii="Arial" w:hAnsi="Arial" w:cs="Arial"/>
          <w:sz w:val="20"/>
          <w:szCs w:val="20"/>
        </w:rPr>
        <w:t>copy of extract from the state register of legal entities and individuals</w:t>
      </w:r>
    </w:p>
    <w:p w:rsidR="00C37DA8" w:rsidRPr="00C37DA8" w:rsidRDefault="00C37DA8" w:rsidP="00C37DA8">
      <w:pPr>
        <w:pStyle w:val="ListParagraph"/>
        <w:numPr>
          <w:ilvl w:val="0"/>
          <w:numId w:val="22"/>
        </w:numPr>
        <w:spacing w:after="100" w:afterAutospacing="1"/>
        <w:jc w:val="both"/>
        <w:rPr>
          <w:rFonts w:ascii="Arial" w:hAnsi="Arial" w:cs="Arial"/>
          <w:sz w:val="20"/>
          <w:szCs w:val="20"/>
        </w:rPr>
      </w:pPr>
      <w:r w:rsidRPr="00C37DA8">
        <w:rPr>
          <w:rFonts w:ascii="Arial" w:hAnsi="Arial" w:cs="Arial"/>
          <w:sz w:val="20"/>
          <w:szCs w:val="20"/>
        </w:rPr>
        <w:t>copy of the legal entity’</w:t>
      </w:r>
      <w:r>
        <w:rPr>
          <w:rFonts w:ascii="Arial" w:hAnsi="Arial" w:cs="Arial"/>
          <w:sz w:val="20"/>
          <w:szCs w:val="20"/>
        </w:rPr>
        <w:t>s</w:t>
      </w:r>
      <w:r w:rsidRPr="00C37DA8">
        <w:rPr>
          <w:rFonts w:ascii="Arial" w:hAnsi="Arial" w:cs="Arial"/>
          <w:sz w:val="20"/>
          <w:szCs w:val="20"/>
        </w:rPr>
        <w:t xml:space="preserve"> charter, as amended</w:t>
      </w:r>
    </w:p>
    <w:p w:rsidR="00C37DA8" w:rsidRDefault="00C37DA8" w:rsidP="00C37DA8">
      <w:pPr>
        <w:pStyle w:val="ListParagraph"/>
        <w:numPr>
          <w:ilvl w:val="0"/>
          <w:numId w:val="22"/>
        </w:numPr>
        <w:spacing w:after="100" w:afterAutospacing="1"/>
        <w:jc w:val="both"/>
        <w:rPr>
          <w:rFonts w:ascii="Arial" w:hAnsi="Arial" w:cs="Arial"/>
          <w:sz w:val="20"/>
          <w:szCs w:val="20"/>
        </w:rPr>
      </w:pPr>
      <w:r w:rsidRPr="00C37DA8">
        <w:rPr>
          <w:rFonts w:ascii="Arial" w:hAnsi="Arial" w:cs="Arial"/>
          <w:sz w:val="20"/>
          <w:szCs w:val="20"/>
        </w:rPr>
        <w:t>CVs of the key project staff</w:t>
      </w:r>
    </w:p>
    <w:p w:rsidR="00C37DA8" w:rsidRDefault="00C37DA8" w:rsidP="00025D6F">
      <w:pPr>
        <w:pStyle w:val="ListParagraph"/>
        <w:numPr>
          <w:ilvl w:val="0"/>
          <w:numId w:val="22"/>
        </w:numPr>
        <w:spacing w:after="100" w:afterAutospacing="1"/>
        <w:jc w:val="both"/>
      </w:pPr>
      <w:r>
        <w:rPr>
          <w:rFonts w:ascii="Arial" w:hAnsi="Arial" w:cs="Arial"/>
          <w:sz w:val="20"/>
          <w:szCs w:val="20"/>
        </w:rPr>
        <w:t>support and/or cover letter, describing entity and necessity for project implementation</w:t>
      </w:r>
    </w:p>
    <w:p w:rsidR="00C37DA8" w:rsidRDefault="00C37DA8" w:rsidP="00025D6F">
      <w:pPr>
        <w:spacing w:after="100" w:afterAutospacing="1"/>
        <w:jc w:val="both"/>
        <w:rPr>
          <w:color w:val="000000"/>
        </w:rPr>
      </w:pPr>
      <w:r>
        <w:t xml:space="preserve">The project proposal shall contain description of project activities to meet the goal and objectives and a </w:t>
      </w:r>
      <w:r w:rsidR="00052E7A" w:rsidRPr="00052E7A">
        <w:rPr>
          <w:color w:val="000000"/>
        </w:rPr>
        <w:t xml:space="preserve">list of equipment, materials, laboratory </w:t>
      </w:r>
      <w:r>
        <w:rPr>
          <w:color w:val="000000"/>
        </w:rPr>
        <w:t>and field surveys and other means and methods to be used by the applicant. Detailed information on legal status and banking details of the entity shall be submitted. The organisers have the right to reject and disallow participation of the project proposal in the Call if it is incompliant with the requirements above.</w:t>
      </w:r>
    </w:p>
    <w:p w:rsidR="00420DBB" w:rsidRPr="00874ED6" w:rsidRDefault="00420DBB" w:rsidP="00420DBB">
      <w:pPr>
        <w:ind w:left="1211"/>
      </w:pPr>
    </w:p>
    <w:p w:rsidR="00B21848" w:rsidRDefault="00B947F2" w:rsidP="00B21848">
      <w:pPr>
        <w:rPr>
          <w:b/>
          <w:bCs/>
        </w:rPr>
      </w:pPr>
      <w:r>
        <w:rPr>
          <w:b/>
          <w:bCs/>
        </w:rPr>
        <w:t>7. Criteria for S</w:t>
      </w:r>
      <w:r w:rsidR="00B21848" w:rsidRPr="00874ED6">
        <w:rPr>
          <w:b/>
          <w:bCs/>
        </w:rPr>
        <w:t>election</w:t>
      </w:r>
      <w:r>
        <w:rPr>
          <w:b/>
          <w:bCs/>
        </w:rPr>
        <w:t xml:space="preserve"> of Winning Project Proposals.</w:t>
      </w:r>
    </w:p>
    <w:p w:rsidR="00EC2297" w:rsidRDefault="00EC2297" w:rsidP="00B21848">
      <w:pPr>
        <w:rPr>
          <w:b/>
          <w:bCs/>
        </w:rPr>
      </w:pPr>
    </w:p>
    <w:p w:rsidR="00EC2297" w:rsidRPr="00EC2297" w:rsidRDefault="00EC2297" w:rsidP="00B21848">
      <w:pPr>
        <w:rPr>
          <w:bCs/>
        </w:rPr>
      </w:pPr>
      <w:r w:rsidRPr="00EC2297">
        <w:rPr>
          <w:bCs/>
        </w:rPr>
        <w:t>7.1 Evaluation of</w:t>
      </w:r>
      <w:r>
        <w:rPr>
          <w:bCs/>
        </w:rPr>
        <w:t xml:space="preserve"> </w:t>
      </w:r>
      <w:r w:rsidRPr="00EC2297">
        <w:rPr>
          <w:bCs/>
        </w:rPr>
        <w:t xml:space="preserve">project proposals which met the basic requirements will solely be </w:t>
      </w:r>
      <w:r>
        <w:rPr>
          <w:bCs/>
        </w:rPr>
        <w:t>carried</w:t>
      </w:r>
      <w:r w:rsidRPr="00EC2297">
        <w:rPr>
          <w:bCs/>
        </w:rPr>
        <w:t xml:space="preserve"> ou</w:t>
      </w:r>
      <w:r>
        <w:rPr>
          <w:bCs/>
        </w:rPr>
        <w:t>t</w:t>
      </w:r>
      <w:r w:rsidRPr="00EC2297">
        <w:rPr>
          <w:bCs/>
        </w:rPr>
        <w:t xml:space="preserve"> at the Organiser’s discretion </w:t>
      </w:r>
      <w:r w:rsidR="00AD298F">
        <w:rPr>
          <w:bCs/>
        </w:rPr>
        <w:t>according to the criteria and score below.</w:t>
      </w:r>
    </w:p>
    <w:p w:rsidR="00B21848" w:rsidRPr="00874ED6" w:rsidRDefault="00B21848" w:rsidP="00B21848"/>
    <w:p w:rsidR="00771514" w:rsidRPr="00874ED6" w:rsidRDefault="00771514" w:rsidP="00B21848">
      <w:r w:rsidRPr="00874ED6">
        <w:t xml:space="preserve">Selection will be based on </w:t>
      </w:r>
      <w:r w:rsidR="00A4096A">
        <w:t>the following evaluation criteria:</w:t>
      </w:r>
    </w:p>
    <w:p w:rsidR="009D1BA8" w:rsidRDefault="009D1BA8" w:rsidP="009D1BA8">
      <w:pPr>
        <w:tabs>
          <w:tab w:val="num" w:pos="1418"/>
        </w:tabs>
        <w:ind w:left="1211"/>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7339"/>
      </w:tblGrid>
      <w:tr w:rsidR="00A4096A" w:rsidRPr="00F4098D" w:rsidTr="00F4098D">
        <w:tc>
          <w:tcPr>
            <w:tcW w:w="939" w:type="dxa"/>
            <w:shd w:val="clear" w:color="auto" w:fill="auto"/>
          </w:tcPr>
          <w:p w:rsidR="00A4096A" w:rsidRPr="00F4098D" w:rsidRDefault="00EC2297" w:rsidP="00EC2297">
            <w:pPr>
              <w:jc w:val="both"/>
              <w:rPr>
                <w:rFonts w:eastAsia="Calibri"/>
                <w:color w:val="000000"/>
                <w:lang w:val="en-US"/>
              </w:rPr>
            </w:pPr>
            <w:r>
              <w:rPr>
                <w:rFonts w:eastAsia="Calibri"/>
                <w:color w:val="000000"/>
                <w:lang w:val="en-US"/>
              </w:rPr>
              <w:t>Score</w:t>
            </w:r>
          </w:p>
        </w:tc>
        <w:tc>
          <w:tcPr>
            <w:tcW w:w="73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Criteria</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30%</w:t>
            </w:r>
          </w:p>
        </w:tc>
        <w:tc>
          <w:tcPr>
            <w:tcW w:w="7339" w:type="dxa"/>
            <w:shd w:val="clear" w:color="auto" w:fill="auto"/>
          </w:tcPr>
          <w:p w:rsidR="00A4096A" w:rsidRPr="00F4098D" w:rsidRDefault="00B2336F" w:rsidP="00B2336F">
            <w:pPr>
              <w:jc w:val="both"/>
              <w:rPr>
                <w:rFonts w:eastAsia="Calibri"/>
                <w:color w:val="000000"/>
                <w:lang w:val="en-US"/>
              </w:rPr>
            </w:pPr>
            <w:r>
              <w:rPr>
                <w:rFonts w:eastAsia="Calibri"/>
                <w:color w:val="000000"/>
              </w:rPr>
              <w:t>Capability for raising awareness about the projects results</w:t>
            </w:r>
            <w:r w:rsidR="00A4096A" w:rsidRPr="00F4098D">
              <w:rPr>
                <w:rFonts w:eastAsia="Calibri"/>
                <w:color w:val="000000"/>
                <w:lang w:val="en-US"/>
              </w:rPr>
              <w:t xml:space="preserve"> (including ability to promote the results of the research to </w:t>
            </w:r>
            <w:r>
              <w:rPr>
                <w:rFonts w:eastAsia="Calibri"/>
                <w:color w:val="000000"/>
                <w:lang w:val="en-US"/>
              </w:rPr>
              <w:t>the public</w:t>
            </w:r>
            <w:r w:rsidR="00A4096A" w:rsidRPr="00F4098D">
              <w:rPr>
                <w:rFonts w:eastAsia="Calibri"/>
                <w:color w:val="000000"/>
                <w:lang w:val="en-US"/>
              </w:rPr>
              <w:t>)</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20%</w:t>
            </w:r>
          </w:p>
        </w:tc>
        <w:tc>
          <w:tcPr>
            <w:tcW w:w="73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rPr>
              <w:t>Public value</w:t>
            </w:r>
            <w:r w:rsidRPr="00F4098D">
              <w:rPr>
                <w:rFonts w:eastAsia="Calibri"/>
                <w:color w:val="000000"/>
                <w:lang w:val="en-US"/>
              </w:rPr>
              <w:t xml:space="preserve"> </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10%</w:t>
            </w:r>
          </w:p>
        </w:tc>
        <w:tc>
          <w:tcPr>
            <w:tcW w:w="73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rPr>
              <w:t>Partnership (involvement of wide range of stakeholders</w:t>
            </w:r>
            <w:r w:rsidR="00B2336F">
              <w:rPr>
                <w:rFonts w:eastAsia="Calibri"/>
                <w:color w:val="000000"/>
              </w:rPr>
              <w:t xml:space="preserve"> in the course of project implementation</w:t>
            </w:r>
            <w:r w:rsidRPr="00F4098D">
              <w:rPr>
                <w:rFonts w:eastAsia="Calibri"/>
                <w:color w:val="000000"/>
              </w:rPr>
              <w:t>)</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10%</w:t>
            </w:r>
          </w:p>
        </w:tc>
        <w:tc>
          <w:tcPr>
            <w:tcW w:w="7339" w:type="dxa"/>
            <w:shd w:val="clear" w:color="auto" w:fill="auto"/>
          </w:tcPr>
          <w:p w:rsidR="00A4096A" w:rsidRPr="00F4098D" w:rsidRDefault="00A4096A" w:rsidP="00B2336F">
            <w:pPr>
              <w:jc w:val="both"/>
              <w:rPr>
                <w:rFonts w:eastAsia="Calibri"/>
                <w:color w:val="000000"/>
                <w:lang w:val="en-US"/>
              </w:rPr>
            </w:pPr>
            <w:r w:rsidRPr="00F4098D">
              <w:rPr>
                <w:rFonts w:eastAsia="Calibri"/>
                <w:color w:val="000000"/>
              </w:rPr>
              <w:t>Credibility</w:t>
            </w:r>
            <w:r w:rsidR="00B2336F">
              <w:rPr>
                <w:rFonts w:eastAsia="Calibri"/>
                <w:color w:val="000000"/>
              </w:rPr>
              <w:t xml:space="preserve"> and responsibility </w:t>
            </w:r>
            <w:r w:rsidRPr="00F4098D">
              <w:rPr>
                <w:rFonts w:eastAsia="Calibri"/>
                <w:color w:val="000000"/>
              </w:rPr>
              <w:t>(</w:t>
            </w:r>
            <w:r w:rsidR="00B2336F">
              <w:rPr>
                <w:rFonts w:eastAsia="Calibri"/>
                <w:color w:val="000000"/>
              </w:rPr>
              <w:t xml:space="preserve">participation of </w:t>
            </w:r>
            <w:r w:rsidRPr="00F4098D">
              <w:rPr>
                <w:rFonts w:eastAsia="Calibri"/>
                <w:color w:val="000000"/>
              </w:rPr>
              <w:t xml:space="preserve">experienced and reputable organizations, researchers </w:t>
            </w:r>
            <w:r w:rsidR="00B2336F">
              <w:rPr>
                <w:rFonts w:eastAsia="Calibri"/>
                <w:color w:val="000000"/>
              </w:rPr>
              <w:t>in the implementation of the project</w:t>
            </w:r>
            <w:r w:rsidRPr="00F4098D">
              <w:rPr>
                <w:rFonts w:eastAsia="Calibri"/>
                <w:color w:val="000000"/>
              </w:rPr>
              <w:t>)</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10%</w:t>
            </w:r>
          </w:p>
        </w:tc>
        <w:tc>
          <w:tcPr>
            <w:tcW w:w="73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rPr>
              <w:t>Relevance and necessity of research for unconventional gas projects development</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10%</w:t>
            </w:r>
          </w:p>
        </w:tc>
        <w:tc>
          <w:tcPr>
            <w:tcW w:w="73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rPr>
              <w:t>Engaging and ensuring participation in the project/research of the stakeholders that are permanently residing in the area of unconventional gas exploration and production</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5%</w:t>
            </w:r>
          </w:p>
        </w:tc>
        <w:tc>
          <w:tcPr>
            <w:tcW w:w="7339" w:type="dxa"/>
            <w:shd w:val="clear" w:color="auto" w:fill="auto"/>
          </w:tcPr>
          <w:p w:rsidR="00A4096A" w:rsidRPr="00F4098D" w:rsidRDefault="00A4096A" w:rsidP="00F4098D">
            <w:pPr>
              <w:jc w:val="both"/>
              <w:rPr>
                <w:rFonts w:eastAsia="Calibri"/>
                <w:color w:val="000000"/>
              </w:rPr>
            </w:pPr>
            <w:r w:rsidRPr="00F4098D">
              <w:rPr>
                <w:rFonts w:eastAsia="Calibri"/>
                <w:color w:val="000000"/>
              </w:rPr>
              <w:t>Availability of the respective infrastructure and resources for project implementation</w:t>
            </w:r>
          </w:p>
        </w:tc>
      </w:tr>
      <w:tr w:rsidR="00A4096A" w:rsidRPr="00F4098D" w:rsidTr="00F4098D">
        <w:tc>
          <w:tcPr>
            <w:tcW w:w="939" w:type="dxa"/>
            <w:shd w:val="clear" w:color="auto" w:fill="auto"/>
          </w:tcPr>
          <w:p w:rsidR="00A4096A" w:rsidRPr="00F4098D" w:rsidRDefault="00A4096A" w:rsidP="00F4098D">
            <w:pPr>
              <w:jc w:val="both"/>
              <w:rPr>
                <w:rFonts w:eastAsia="Calibri"/>
                <w:color w:val="000000"/>
                <w:lang w:val="en-US"/>
              </w:rPr>
            </w:pPr>
            <w:r w:rsidRPr="00F4098D">
              <w:rPr>
                <w:rFonts w:eastAsia="Calibri"/>
                <w:color w:val="000000"/>
                <w:lang w:val="en-US"/>
              </w:rPr>
              <w:t>5%</w:t>
            </w:r>
          </w:p>
        </w:tc>
        <w:tc>
          <w:tcPr>
            <w:tcW w:w="7339" w:type="dxa"/>
            <w:shd w:val="clear" w:color="auto" w:fill="auto"/>
          </w:tcPr>
          <w:p w:rsidR="00A4096A" w:rsidRPr="00F4098D" w:rsidRDefault="00A4096A" w:rsidP="00B2336F">
            <w:pPr>
              <w:jc w:val="both"/>
              <w:rPr>
                <w:rFonts w:eastAsia="Calibri"/>
                <w:color w:val="000000"/>
                <w:lang w:val="en-US"/>
              </w:rPr>
            </w:pPr>
            <w:r w:rsidRPr="00F4098D">
              <w:rPr>
                <w:rFonts w:eastAsia="Calibri"/>
                <w:color w:val="000000"/>
              </w:rPr>
              <w:t>Enhancing scientific and research potential, covering assistance in obtaining new knowledge, conducting respective scientific researches for unconventional gas exploration and production industry development, improving local communities' access to energy resources, conducting environmental monitoring and environmental impact assessment</w:t>
            </w:r>
            <w:r w:rsidRPr="00F4098D">
              <w:rPr>
                <w:rFonts w:eastAsia="Calibri"/>
                <w:color w:val="000000"/>
                <w:lang w:val="en-US"/>
              </w:rPr>
              <w:t xml:space="preserve"> (capacity building)</w:t>
            </w:r>
          </w:p>
        </w:tc>
      </w:tr>
    </w:tbl>
    <w:p w:rsidR="00711F6F" w:rsidRDefault="00711F6F" w:rsidP="000110D1">
      <w:pPr>
        <w:rPr>
          <w:b/>
        </w:rPr>
      </w:pPr>
    </w:p>
    <w:p w:rsidR="00711F6F" w:rsidRDefault="00711F6F" w:rsidP="000110D1">
      <w:pPr>
        <w:rPr>
          <w:b/>
        </w:rPr>
      </w:pPr>
    </w:p>
    <w:p w:rsidR="00EC2297" w:rsidRDefault="00EC2297" w:rsidP="000110D1">
      <w:pPr>
        <w:rPr>
          <w:b/>
        </w:rPr>
      </w:pPr>
    </w:p>
    <w:p w:rsidR="00EC2297" w:rsidRDefault="00EC2297" w:rsidP="000110D1">
      <w:pPr>
        <w:rPr>
          <w:b/>
        </w:rPr>
      </w:pPr>
    </w:p>
    <w:p w:rsidR="00711F6F" w:rsidRDefault="00EC2297" w:rsidP="000110D1">
      <w:pPr>
        <w:rPr>
          <w:b/>
        </w:rPr>
      </w:pPr>
      <w:r>
        <w:rPr>
          <w:b/>
        </w:rPr>
        <w:t xml:space="preserve">8. </w:t>
      </w:r>
      <w:r w:rsidR="00711F6F" w:rsidRPr="00711F6F">
        <w:rPr>
          <w:b/>
        </w:rPr>
        <w:t>Exclusions</w:t>
      </w:r>
    </w:p>
    <w:p w:rsidR="00711F6F" w:rsidRPr="00711F6F" w:rsidRDefault="00711F6F" w:rsidP="000110D1">
      <w:pPr>
        <w:rPr>
          <w:b/>
        </w:rPr>
      </w:pPr>
    </w:p>
    <w:p w:rsidR="00711F6F" w:rsidRPr="00711F6F" w:rsidRDefault="00711F6F" w:rsidP="00711F6F">
      <w:pPr>
        <w:spacing w:after="100" w:afterAutospacing="1"/>
        <w:jc w:val="both"/>
        <w:rPr>
          <w:color w:val="000000"/>
          <w:lang w:val="en-US"/>
        </w:rPr>
      </w:pPr>
      <w:r w:rsidRPr="00711F6F">
        <w:rPr>
          <w:color w:val="000000"/>
          <w:lang w:val="en-US"/>
        </w:rPr>
        <w:t xml:space="preserve">The </w:t>
      </w:r>
      <w:r w:rsidR="00B2336F">
        <w:rPr>
          <w:color w:val="000000"/>
          <w:lang w:val="en-US"/>
        </w:rPr>
        <w:t>following project proposals shall not be considered and shall not participate in the Call process</w:t>
      </w:r>
      <w:r w:rsidR="003E55A5">
        <w:rPr>
          <w:color w:val="000000"/>
          <w:lang w:val="en-US"/>
        </w:rPr>
        <w:t>:</w:t>
      </w:r>
    </w:p>
    <w:p w:rsidR="00711F6F" w:rsidRPr="00711F6F" w:rsidRDefault="00711F6F" w:rsidP="00711F6F">
      <w:pPr>
        <w:spacing w:after="100" w:afterAutospacing="1"/>
        <w:jc w:val="both"/>
        <w:rPr>
          <w:color w:val="000000"/>
          <w:lang w:val="en-US"/>
        </w:rPr>
      </w:pPr>
      <w:r w:rsidRPr="00711F6F">
        <w:rPr>
          <w:color w:val="000000"/>
          <w:lang w:val="en-US"/>
        </w:rPr>
        <w:t xml:space="preserve">1. </w:t>
      </w:r>
      <w:proofErr w:type="gramStart"/>
      <w:r w:rsidR="00661087">
        <w:rPr>
          <w:color w:val="000000"/>
          <w:lang w:val="en-US"/>
        </w:rPr>
        <w:t>i</w:t>
      </w:r>
      <w:r w:rsidRPr="00711F6F">
        <w:rPr>
          <w:color w:val="000000"/>
          <w:lang w:val="en-US"/>
        </w:rPr>
        <w:t>f</w:t>
      </w:r>
      <w:proofErr w:type="gramEnd"/>
      <w:r w:rsidRPr="00711F6F">
        <w:rPr>
          <w:color w:val="000000"/>
          <w:lang w:val="en-US"/>
        </w:rPr>
        <w:t xml:space="preserve"> submitted by</w:t>
      </w:r>
    </w:p>
    <w:p w:rsidR="00711F6F" w:rsidRPr="00711F6F" w:rsidRDefault="00B2336F"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g</w:t>
      </w:r>
      <w:r w:rsidR="00711F6F" w:rsidRPr="00711F6F">
        <w:rPr>
          <w:rFonts w:ascii="Arial" w:hAnsi="Arial" w:cs="Arial"/>
          <w:color w:val="000000"/>
          <w:sz w:val="20"/>
          <w:szCs w:val="20"/>
        </w:rPr>
        <w:t xml:space="preserve">overnmental </w:t>
      </w:r>
      <w:r>
        <w:rPr>
          <w:rFonts w:ascii="Arial" w:hAnsi="Arial" w:cs="Arial"/>
          <w:color w:val="000000"/>
          <w:sz w:val="20"/>
          <w:szCs w:val="20"/>
        </w:rPr>
        <w:t xml:space="preserve">institutions and </w:t>
      </w:r>
      <w:proofErr w:type="spellStart"/>
      <w:r>
        <w:rPr>
          <w:rFonts w:ascii="Arial" w:hAnsi="Arial" w:cs="Arial"/>
          <w:color w:val="000000"/>
          <w:sz w:val="20"/>
          <w:szCs w:val="20"/>
        </w:rPr>
        <w:t>organisations</w:t>
      </w:r>
      <w:proofErr w:type="spellEnd"/>
      <w:r>
        <w:rPr>
          <w:rFonts w:ascii="Arial" w:hAnsi="Arial" w:cs="Arial"/>
          <w:color w:val="000000"/>
          <w:sz w:val="20"/>
          <w:szCs w:val="20"/>
        </w:rPr>
        <w:t xml:space="preserve"> of all levels</w:t>
      </w:r>
      <w:r w:rsidR="00711F6F" w:rsidRPr="00711F6F">
        <w:rPr>
          <w:rFonts w:ascii="Arial" w:hAnsi="Arial" w:cs="Arial"/>
          <w:color w:val="000000"/>
          <w:sz w:val="20"/>
          <w:szCs w:val="20"/>
        </w:rPr>
        <w:t>;</w:t>
      </w:r>
    </w:p>
    <w:p w:rsidR="00711F6F" w:rsidRPr="00711F6F" w:rsidRDefault="00B2336F"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local government of all levels</w:t>
      </w:r>
      <w:r w:rsidR="00711F6F" w:rsidRPr="00711F6F">
        <w:rPr>
          <w:rFonts w:ascii="Arial" w:hAnsi="Arial" w:cs="Arial"/>
          <w:color w:val="000000"/>
          <w:sz w:val="20"/>
          <w:szCs w:val="20"/>
        </w:rPr>
        <w:t>;</w:t>
      </w:r>
    </w:p>
    <w:p w:rsidR="00711F6F" w:rsidRPr="00711F6F" w:rsidRDefault="00B2336F"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p</w:t>
      </w:r>
      <w:r w:rsidR="00711F6F" w:rsidRPr="00711F6F">
        <w:rPr>
          <w:rFonts w:ascii="Arial" w:hAnsi="Arial" w:cs="Arial"/>
          <w:color w:val="000000"/>
          <w:sz w:val="20"/>
          <w:szCs w:val="20"/>
        </w:rPr>
        <w:t xml:space="preserve">olitical </w:t>
      </w:r>
      <w:r>
        <w:rPr>
          <w:rFonts w:ascii="Arial" w:hAnsi="Arial" w:cs="Arial"/>
          <w:color w:val="000000"/>
          <w:sz w:val="20"/>
          <w:szCs w:val="20"/>
        </w:rPr>
        <w:t>p</w:t>
      </w:r>
      <w:r w:rsidR="00711F6F" w:rsidRPr="00711F6F">
        <w:rPr>
          <w:rFonts w:ascii="Arial" w:hAnsi="Arial" w:cs="Arial"/>
          <w:color w:val="000000"/>
          <w:sz w:val="20"/>
          <w:szCs w:val="20"/>
        </w:rPr>
        <w:t>art</w:t>
      </w:r>
      <w:r>
        <w:rPr>
          <w:rFonts w:ascii="Arial" w:hAnsi="Arial" w:cs="Arial"/>
          <w:color w:val="000000"/>
          <w:sz w:val="20"/>
          <w:szCs w:val="20"/>
        </w:rPr>
        <w:t xml:space="preserve">ies </w:t>
      </w:r>
      <w:r w:rsidR="00711F6F" w:rsidRPr="00711F6F">
        <w:rPr>
          <w:rFonts w:ascii="Arial" w:hAnsi="Arial" w:cs="Arial"/>
          <w:color w:val="000000"/>
          <w:sz w:val="20"/>
          <w:szCs w:val="20"/>
        </w:rPr>
        <w:t xml:space="preserve"> or </w:t>
      </w:r>
      <w:r>
        <w:rPr>
          <w:rFonts w:ascii="Arial" w:hAnsi="Arial" w:cs="Arial"/>
          <w:color w:val="000000"/>
          <w:sz w:val="20"/>
          <w:szCs w:val="20"/>
        </w:rPr>
        <w:t>organisations encouraging implementation of political campaigns</w:t>
      </w:r>
      <w:r w:rsidR="00711F6F" w:rsidRPr="00711F6F">
        <w:rPr>
          <w:rFonts w:ascii="Arial" w:hAnsi="Arial" w:cs="Arial"/>
          <w:color w:val="000000"/>
          <w:sz w:val="20"/>
          <w:szCs w:val="20"/>
        </w:rPr>
        <w:t>;</w:t>
      </w:r>
    </w:p>
    <w:p w:rsidR="00711F6F" w:rsidRPr="00711F6F" w:rsidRDefault="003E55A5"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i</w:t>
      </w:r>
      <w:r w:rsidR="00711F6F" w:rsidRPr="00711F6F">
        <w:rPr>
          <w:rFonts w:ascii="Arial" w:hAnsi="Arial" w:cs="Arial"/>
          <w:color w:val="000000"/>
          <w:sz w:val="20"/>
          <w:szCs w:val="20"/>
        </w:rPr>
        <w:t xml:space="preserve">nternational </w:t>
      </w:r>
      <w:r>
        <w:rPr>
          <w:rFonts w:ascii="Arial" w:hAnsi="Arial" w:cs="Arial"/>
          <w:color w:val="000000"/>
          <w:sz w:val="20"/>
          <w:szCs w:val="20"/>
        </w:rPr>
        <w:t>NGOs</w:t>
      </w:r>
      <w:r w:rsidR="00711F6F" w:rsidRPr="00711F6F">
        <w:rPr>
          <w:rFonts w:ascii="Arial" w:hAnsi="Arial" w:cs="Arial"/>
          <w:color w:val="000000"/>
          <w:sz w:val="20"/>
          <w:szCs w:val="20"/>
        </w:rPr>
        <w:t>;</w:t>
      </w:r>
    </w:p>
    <w:p w:rsidR="00711F6F" w:rsidRDefault="003E55A5"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r</w:t>
      </w:r>
      <w:r w:rsidR="00711F6F" w:rsidRPr="00711F6F">
        <w:rPr>
          <w:rFonts w:ascii="Arial" w:hAnsi="Arial" w:cs="Arial"/>
          <w:color w:val="000000"/>
          <w:sz w:val="20"/>
          <w:szCs w:val="20"/>
        </w:rPr>
        <w:t>eligious organizations</w:t>
      </w:r>
      <w:r w:rsidR="0032575C">
        <w:rPr>
          <w:rFonts w:ascii="Arial" w:hAnsi="Arial" w:cs="Arial"/>
          <w:color w:val="000000"/>
          <w:sz w:val="20"/>
          <w:szCs w:val="20"/>
        </w:rPr>
        <w:t>;</w:t>
      </w:r>
    </w:p>
    <w:p w:rsidR="003E55A5" w:rsidRPr="00711F6F" w:rsidRDefault="003E55A5" w:rsidP="00711F6F">
      <w:pPr>
        <w:pStyle w:val="ListParagraph"/>
        <w:numPr>
          <w:ilvl w:val="0"/>
          <w:numId w:val="20"/>
        </w:numPr>
        <w:spacing w:after="100" w:afterAutospacing="1" w:line="240" w:lineRule="auto"/>
        <w:jc w:val="both"/>
        <w:rPr>
          <w:rFonts w:ascii="Arial" w:hAnsi="Arial" w:cs="Arial"/>
          <w:color w:val="000000"/>
          <w:sz w:val="20"/>
          <w:szCs w:val="20"/>
        </w:rPr>
      </w:pPr>
      <w:r>
        <w:rPr>
          <w:rFonts w:ascii="Arial" w:hAnsi="Arial" w:cs="Arial"/>
          <w:color w:val="000000"/>
          <w:sz w:val="20"/>
          <w:szCs w:val="20"/>
        </w:rPr>
        <w:t>establishments, officials whereof are under investigation or defendants at in criminal trial</w:t>
      </w:r>
    </w:p>
    <w:p w:rsidR="00711F6F" w:rsidRPr="00711F6F" w:rsidRDefault="00711F6F" w:rsidP="00711F6F">
      <w:pPr>
        <w:spacing w:after="100" w:afterAutospacing="1"/>
        <w:jc w:val="both"/>
        <w:rPr>
          <w:color w:val="000000"/>
          <w:lang w:val="en-US"/>
        </w:rPr>
      </w:pPr>
      <w:r w:rsidRPr="00711F6F">
        <w:rPr>
          <w:color w:val="000000"/>
          <w:lang w:val="en-US"/>
        </w:rPr>
        <w:t xml:space="preserve">2. </w:t>
      </w:r>
      <w:proofErr w:type="gramStart"/>
      <w:r w:rsidRPr="00711F6F">
        <w:rPr>
          <w:color w:val="000000"/>
          <w:lang w:val="en-US"/>
        </w:rPr>
        <w:t>if</w:t>
      </w:r>
      <w:proofErr w:type="gramEnd"/>
      <w:r w:rsidRPr="00711F6F">
        <w:rPr>
          <w:color w:val="000000"/>
          <w:lang w:val="en-US"/>
        </w:rPr>
        <w:t xml:space="preserve"> </w:t>
      </w:r>
      <w:r w:rsidR="003E55A5">
        <w:rPr>
          <w:color w:val="000000"/>
          <w:lang w:val="en-US"/>
        </w:rPr>
        <w:t xml:space="preserve">project proposals </w:t>
      </w:r>
      <w:r w:rsidRPr="00711F6F">
        <w:rPr>
          <w:color w:val="000000"/>
          <w:lang w:val="en-US"/>
        </w:rPr>
        <w:t xml:space="preserve"> include:</w:t>
      </w:r>
    </w:p>
    <w:p w:rsidR="00711F6F" w:rsidRPr="00711F6F" w:rsidRDefault="003E55A5" w:rsidP="00711F6F">
      <w:pPr>
        <w:pStyle w:val="ListParagraph"/>
        <w:numPr>
          <w:ilvl w:val="0"/>
          <w:numId w:val="21"/>
        </w:numPr>
        <w:spacing w:after="100" w:afterAutospacing="1" w:line="240" w:lineRule="auto"/>
        <w:jc w:val="both"/>
        <w:rPr>
          <w:rFonts w:ascii="Arial" w:hAnsi="Arial" w:cs="Arial"/>
          <w:color w:val="000000"/>
          <w:sz w:val="20"/>
          <w:szCs w:val="20"/>
        </w:rPr>
      </w:pPr>
      <w:r>
        <w:rPr>
          <w:rFonts w:ascii="Arial" w:hAnsi="Arial" w:cs="Arial"/>
          <w:color w:val="000000"/>
          <w:sz w:val="20"/>
          <w:szCs w:val="20"/>
        </w:rPr>
        <w:t>a</w:t>
      </w:r>
      <w:r w:rsidR="00711F6F" w:rsidRPr="00711F6F">
        <w:rPr>
          <w:rFonts w:ascii="Arial" w:hAnsi="Arial" w:cs="Arial"/>
          <w:color w:val="000000"/>
          <w:sz w:val="20"/>
          <w:szCs w:val="20"/>
        </w:rPr>
        <w:t xml:space="preserve">ctivities not </w:t>
      </w:r>
      <w:r>
        <w:rPr>
          <w:rFonts w:ascii="Arial" w:hAnsi="Arial" w:cs="Arial"/>
          <w:color w:val="000000"/>
          <w:sz w:val="20"/>
          <w:szCs w:val="20"/>
        </w:rPr>
        <w:t xml:space="preserve">consistent with Shell </w:t>
      </w:r>
      <w:r w:rsidR="00711F6F" w:rsidRPr="00711F6F">
        <w:rPr>
          <w:rFonts w:ascii="Arial" w:hAnsi="Arial" w:cs="Arial"/>
          <w:color w:val="000000"/>
          <w:sz w:val="20"/>
          <w:szCs w:val="20"/>
        </w:rPr>
        <w:t xml:space="preserve">General Business Principles, Anti-Bribery and Corruption </w:t>
      </w:r>
      <w:r>
        <w:rPr>
          <w:rFonts w:ascii="Arial" w:hAnsi="Arial" w:cs="Arial"/>
          <w:color w:val="000000"/>
          <w:sz w:val="20"/>
          <w:szCs w:val="20"/>
        </w:rPr>
        <w:t>policy and current</w:t>
      </w:r>
      <w:r w:rsidR="00711F6F" w:rsidRPr="00711F6F">
        <w:rPr>
          <w:rFonts w:ascii="Arial" w:hAnsi="Arial" w:cs="Arial"/>
          <w:color w:val="000000"/>
          <w:sz w:val="20"/>
          <w:szCs w:val="20"/>
        </w:rPr>
        <w:t xml:space="preserve"> Ukrainian legislation;</w:t>
      </w:r>
    </w:p>
    <w:p w:rsidR="00711F6F" w:rsidRDefault="003E55A5" w:rsidP="00711F6F">
      <w:pPr>
        <w:pStyle w:val="ListParagraph"/>
        <w:numPr>
          <w:ilvl w:val="0"/>
          <w:numId w:val="21"/>
        </w:numPr>
        <w:spacing w:after="100" w:afterAutospacing="1" w:line="240" w:lineRule="auto"/>
        <w:jc w:val="both"/>
        <w:rPr>
          <w:rFonts w:ascii="Arial" w:hAnsi="Arial" w:cs="Arial"/>
          <w:color w:val="000000"/>
          <w:sz w:val="20"/>
          <w:szCs w:val="20"/>
        </w:rPr>
      </w:pPr>
      <w:r>
        <w:rPr>
          <w:rFonts w:ascii="Arial" w:hAnsi="Arial" w:cs="Arial"/>
          <w:color w:val="000000"/>
          <w:sz w:val="20"/>
          <w:szCs w:val="20"/>
        </w:rPr>
        <w:t>establishment of</w:t>
      </w:r>
      <w:r w:rsidR="00711F6F" w:rsidRPr="00711F6F">
        <w:rPr>
          <w:rFonts w:ascii="Arial" w:hAnsi="Arial" w:cs="Arial"/>
          <w:color w:val="000000"/>
          <w:sz w:val="20"/>
          <w:szCs w:val="20"/>
        </w:rPr>
        <w:t xml:space="preserve"> any </w:t>
      </w:r>
      <w:r>
        <w:rPr>
          <w:rFonts w:ascii="Arial" w:hAnsi="Arial" w:cs="Arial"/>
          <w:color w:val="000000"/>
          <w:sz w:val="20"/>
          <w:szCs w:val="20"/>
        </w:rPr>
        <w:t xml:space="preserve">legal </w:t>
      </w:r>
      <w:r w:rsidR="00711F6F" w:rsidRPr="00711F6F">
        <w:rPr>
          <w:rFonts w:ascii="Arial" w:hAnsi="Arial" w:cs="Arial"/>
          <w:color w:val="000000"/>
          <w:sz w:val="20"/>
          <w:szCs w:val="20"/>
        </w:rPr>
        <w:t>entities,  offices</w:t>
      </w:r>
      <w:r>
        <w:rPr>
          <w:rFonts w:ascii="Arial" w:hAnsi="Arial" w:cs="Arial"/>
          <w:color w:val="000000"/>
          <w:sz w:val="20"/>
          <w:szCs w:val="20"/>
        </w:rPr>
        <w:t xml:space="preserve"> thereof</w:t>
      </w:r>
      <w:r w:rsidR="00711F6F" w:rsidRPr="00711F6F">
        <w:rPr>
          <w:rFonts w:ascii="Arial" w:hAnsi="Arial" w:cs="Arial"/>
          <w:color w:val="000000"/>
          <w:sz w:val="20"/>
          <w:szCs w:val="20"/>
        </w:rPr>
        <w:t xml:space="preserve">, </w:t>
      </w:r>
      <w:r>
        <w:rPr>
          <w:rFonts w:ascii="Arial" w:hAnsi="Arial" w:cs="Arial"/>
          <w:color w:val="000000"/>
          <w:sz w:val="20"/>
          <w:szCs w:val="20"/>
        </w:rPr>
        <w:t xml:space="preserve">purchase of </w:t>
      </w:r>
      <w:r w:rsidR="00711F6F" w:rsidRPr="00711F6F">
        <w:rPr>
          <w:rFonts w:ascii="Arial" w:hAnsi="Arial" w:cs="Arial"/>
          <w:color w:val="000000"/>
          <w:sz w:val="20"/>
          <w:szCs w:val="20"/>
        </w:rPr>
        <w:t>equipment</w:t>
      </w:r>
      <w:r>
        <w:rPr>
          <w:rFonts w:ascii="Arial" w:hAnsi="Arial" w:cs="Arial"/>
          <w:color w:val="000000"/>
          <w:sz w:val="20"/>
          <w:szCs w:val="20"/>
        </w:rPr>
        <w:t>, furniture,</w:t>
      </w:r>
      <w:r w:rsidR="00711F6F" w:rsidRPr="00711F6F">
        <w:rPr>
          <w:rFonts w:ascii="Arial" w:hAnsi="Arial" w:cs="Arial"/>
          <w:color w:val="000000"/>
          <w:sz w:val="20"/>
          <w:szCs w:val="20"/>
        </w:rPr>
        <w:t xml:space="preserve"> </w:t>
      </w:r>
      <w:proofErr w:type="spellStart"/>
      <w:r w:rsidR="00711F6F" w:rsidRPr="00711F6F">
        <w:rPr>
          <w:rFonts w:ascii="Arial" w:hAnsi="Arial" w:cs="Arial"/>
          <w:color w:val="000000"/>
          <w:sz w:val="20"/>
          <w:szCs w:val="20"/>
        </w:rPr>
        <w:t>etc</w:t>
      </w:r>
      <w:proofErr w:type="spellEnd"/>
      <w:r w:rsidR="00711F6F" w:rsidRPr="00711F6F">
        <w:rPr>
          <w:rFonts w:ascii="Arial" w:hAnsi="Arial" w:cs="Arial"/>
          <w:color w:val="000000"/>
          <w:sz w:val="20"/>
          <w:szCs w:val="20"/>
        </w:rPr>
        <w:t>;</w:t>
      </w:r>
    </w:p>
    <w:p w:rsidR="00067743" w:rsidRPr="00711F6F" w:rsidRDefault="003E55A5" w:rsidP="00711F6F">
      <w:pPr>
        <w:pStyle w:val="ListParagraph"/>
        <w:numPr>
          <w:ilvl w:val="0"/>
          <w:numId w:val="21"/>
        </w:numPr>
        <w:spacing w:after="100" w:afterAutospacing="1" w:line="240" w:lineRule="auto"/>
        <w:jc w:val="both"/>
        <w:rPr>
          <w:rFonts w:ascii="Arial" w:hAnsi="Arial" w:cs="Arial"/>
          <w:color w:val="000000"/>
          <w:sz w:val="20"/>
          <w:szCs w:val="20"/>
        </w:rPr>
      </w:pPr>
      <w:r>
        <w:rPr>
          <w:rFonts w:ascii="Arial" w:hAnsi="Arial" w:cs="Arial"/>
          <w:color w:val="000000"/>
          <w:sz w:val="20"/>
          <w:szCs w:val="20"/>
        </w:rPr>
        <w:t>advertising and promotion</w:t>
      </w:r>
    </w:p>
    <w:p w:rsidR="00011B89" w:rsidRPr="00874ED6" w:rsidRDefault="003E55A5" w:rsidP="00711F6F">
      <w:pPr>
        <w:autoSpaceDE w:val="0"/>
        <w:autoSpaceDN w:val="0"/>
        <w:adjustRightInd w:val="0"/>
        <w:spacing w:after="100" w:afterAutospacing="1"/>
        <w:jc w:val="both"/>
      </w:pPr>
      <w:r>
        <w:rPr>
          <w:b/>
          <w:bCs/>
          <w:color w:val="000000"/>
        </w:rPr>
        <w:t>9. Project Proposal Submission Procedure</w:t>
      </w:r>
    </w:p>
    <w:p w:rsidR="00B21848" w:rsidRPr="00874ED6" w:rsidRDefault="00B21848" w:rsidP="00B21848"/>
    <w:p w:rsidR="009C08C4" w:rsidRDefault="00771514" w:rsidP="00B21848">
      <w:pPr>
        <w:rPr>
          <w:b/>
        </w:rPr>
      </w:pPr>
      <w:r w:rsidRPr="00874ED6">
        <w:t xml:space="preserve">Application forms </w:t>
      </w:r>
      <w:r w:rsidR="000110D1" w:rsidRPr="00874ED6">
        <w:t xml:space="preserve">can be downloaded from </w:t>
      </w:r>
      <w:r w:rsidR="003E55A5">
        <w:t>websites of the Organisers starting</w:t>
      </w:r>
      <w:r w:rsidR="000110D1" w:rsidRPr="00067743">
        <w:t xml:space="preserve"> </w:t>
      </w:r>
      <w:r w:rsidR="0047205B" w:rsidRPr="00067743">
        <w:t xml:space="preserve">from </w:t>
      </w:r>
      <w:r w:rsidR="0095350D" w:rsidRPr="00067743">
        <w:t>1</w:t>
      </w:r>
      <w:r w:rsidR="001C52C4" w:rsidRPr="003E55A5">
        <w:t>4</w:t>
      </w:r>
      <w:r w:rsidR="0095350D" w:rsidRPr="00067743">
        <w:t>th</w:t>
      </w:r>
      <w:r w:rsidR="00B674C0" w:rsidRPr="00067743">
        <w:t xml:space="preserve"> </w:t>
      </w:r>
      <w:r w:rsidR="00E74DB8" w:rsidRPr="00067743">
        <w:t xml:space="preserve">April </w:t>
      </w:r>
      <w:r w:rsidR="00AD6E09" w:rsidRPr="00067743">
        <w:t xml:space="preserve"> </w:t>
      </w:r>
      <w:r w:rsidR="00DC3575" w:rsidRPr="00067743">
        <w:t xml:space="preserve"> </w:t>
      </w:r>
      <w:r w:rsidR="003E55A5" w:rsidRPr="003E55A5">
        <w:rPr>
          <w:b/>
        </w:rPr>
        <w:t>http://www.britishcouncil.org.ua</w:t>
      </w:r>
      <w:r w:rsidR="003E55A5">
        <w:rPr>
          <w:b/>
        </w:rPr>
        <w:t xml:space="preserve">  </w:t>
      </w:r>
      <w:r w:rsidR="00C20AF5">
        <w:rPr>
          <w:b/>
        </w:rPr>
        <w:tab/>
      </w:r>
      <w:r w:rsidR="00C20AF5">
        <w:rPr>
          <w:b/>
        </w:rPr>
        <w:tab/>
      </w:r>
      <w:bookmarkStart w:id="0" w:name="_GoBack"/>
      <w:r w:rsidR="003E55A5">
        <w:rPr>
          <w:b/>
        </w:rPr>
        <w:t xml:space="preserve">  </w:t>
      </w:r>
      <w:r w:rsidR="003E55A5" w:rsidRPr="003E55A5">
        <w:rPr>
          <w:b/>
        </w:rPr>
        <w:t>www.shell.ua</w:t>
      </w:r>
      <w:r w:rsidR="000F7227">
        <w:rPr>
          <w:b/>
        </w:rPr>
        <w:t>/innovation</w:t>
      </w:r>
      <w:bookmarkEnd w:id="0"/>
    </w:p>
    <w:p w:rsidR="003E55A5" w:rsidRPr="003E55A5" w:rsidRDefault="003E55A5" w:rsidP="00B21848">
      <w:pPr>
        <w:rPr>
          <w:b/>
        </w:rPr>
      </w:pPr>
    </w:p>
    <w:p w:rsidR="00711F6F" w:rsidRDefault="00711F6F" w:rsidP="00711F6F">
      <w:pPr>
        <w:rPr>
          <w:color w:val="000000"/>
        </w:rPr>
      </w:pPr>
      <w:r w:rsidRPr="00874ED6">
        <w:t xml:space="preserve">The application should be completed </w:t>
      </w:r>
      <w:r w:rsidR="003E55A5" w:rsidRPr="00874ED6">
        <w:t xml:space="preserve">in </w:t>
      </w:r>
      <w:r w:rsidR="003E55A5">
        <w:t>Ukrainian</w:t>
      </w:r>
      <w:r w:rsidR="0095350D">
        <w:t xml:space="preserve"> or Russian</w:t>
      </w:r>
      <w:r>
        <w:t xml:space="preserve"> and</w:t>
      </w:r>
      <w:r w:rsidRPr="00801D8E">
        <w:rPr>
          <w:color w:val="000000"/>
        </w:rPr>
        <w:t xml:space="preserve"> submitted in accordance with the following procedures:</w:t>
      </w:r>
    </w:p>
    <w:p w:rsidR="00711F6F" w:rsidRPr="00801D8E" w:rsidRDefault="00711F6F" w:rsidP="00711F6F">
      <w:pPr>
        <w:rPr>
          <w:color w:val="000000"/>
          <w:lang w:val="en-US"/>
        </w:rPr>
      </w:pPr>
    </w:p>
    <w:p w:rsidR="00711F6F" w:rsidRPr="00067743" w:rsidRDefault="00711F6F" w:rsidP="00711F6F">
      <w:pPr>
        <w:pStyle w:val="ListParagraph"/>
        <w:numPr>
          <w:ilvl w:val="0"/>
          <w:numId w:val="17"/>
        </w:numPr>
        <w:autoSpaceDE w:val="0"/>
        <w:autoSpaceDN w:val="0"/>
        <w:adjustRightInd w:val="0"/>
        <w:spacing w:after="100" w:afterAutospacing="1" w:line="240" w:lineRule="auto"/>
        <w:jc w:val="both"/>
        <w:rPr>
          <w:rFonts w:ascii="Arial" w:hAnsi="Arial" w:cs="Arial"/>
          <w:b/>
          <w:color w:val="000000"/>
          <w:sz w:val="20"/>
          <w:szCs w:val="20"/>
        </w:rPr>
      </w:pPr>
      <w:r w:rsidRPr="00711F6F">
        <w:rPr>
          <w:rFonts w:ascii="Arial" w:hAnsi="Arial" w:cs="Arial"/>
          <w:color w:val="000000"/>
          <w:sz w:val="20"/>
          <w:szCs w:val="20"/>
        </w:rPr>
        <w:t>an electronic proposal along with the scans of any supporting documentation sent by the announced deadline</w:t>
      </w:r>
      <w:r>
        <w:rPr>
          <w:rFonts w:ascii="Arial" w:hAnsi="Arial" w:cs="Arial"/>
          <w:color w:val="000000"/>
          <w:sz w:val="20"/>
          <w:szCs w:val="20"/>
        </w:rPr>
        <w:t xml:space="preserve"> t</w:t>
      </w:r>
      <w:r w:rsidRPr="00711F6F">
        <w:rPr>
          <w:rFonts w:ascii="Arial" w:hAnsi="Arial" w:cs="Arial"/>
          <w:color w:val="000000"/>
          <w:sz w:val="20"/>
          <w:szCs w:val="20"/>
        </w:rPr>
        <w:t xml:space="preserve">o the following e-mail address: </w:t>
      </w:r>
      <w:r w:rsidRPr="00067743">
        <w:rPr>
          <w:rFonts w:ascii="Arial" w:hAnsi="Arial" w:cs="Arial"/>
          <w:b/>
          <w:sz w:val="20"/>
          <w:szCs w:val="20"/>
        </w:rPr>
        <w:t xml:space="preserve">shell.grants@britishcouncil.org.ua </w:t>
      </w:r>
    </w:p>
    <w:p w:rsidR="00711F6F" w:rsidRPr="00801D8E" w:rsidRDefault="00711F6F" w:rsidP="003E55A5">
      <w:pPr>
        <w:rPr>
          <w:color w:val="000000"/>
        </w:rPr>
      </w:pPr>
    </w:p>
    <w:p w:rsidR="00AC0641" w:rsidRPr="00AC0641" w:rsidRDefault="003E55A5" w:rsidP="00AC0641">
      <w:pPr>
        <w:pStyle w:val="ListParagraph"/>
        <w:numPr>
          <w:ilvl w:val="0"/>
          <w:numId w:val="17"/>
        </w:numPr>
        <w:autoSpaceDE w:val="0"/>
        <w:autoSpaceDN w:val="0"/>
        <w:adjustRightInd w:val="0"/>
        <w:spacing w:after="100" w:afterAutospacing="1" w:line="240" w:lineRule="auto"/>
        <w:jc w:val="both"/>
        <w:rPr>
          <w:rFonts w:ascii="Arial" w:hAnsi="Arial" w:cs="Arial"/>
          <w:color w:val="000000"/>
          <w:sz w:val="20"/>
          <w:szCs w:val="20"/>
        </w:rPr>
      </w:pPr>
      <w:proofErr w:type="gramStart"/>
      <w:r>
        <w:rPr>
          <w:rFonts w:ascii="Arial" w:hAnsi="Arial" w:cs="Arial"/>
          <w:color w:val="000000"/>
          <w:sz w:val="20"/>
          <w:szCs w:val="20"/>
        </w:rPr>
        <w:t>project</w:t>
      </w:r>
      <w:proofErr w:type="gramEnd"/>
      <w:r>
        <w:rPr>
          <w:rFonts w:ascii="Arial" w:hAnsi="Arial" w:cs="Arial"/>
          <w:color w:val="000000"/>
          <w:sz w:val="20"/>
          <w:szCs w:val="20"/>
        </w:rPr>
        <w:t xml:space="preserve"> proposal and support documents can be sent via mail or delivery service to the address below.</w:t>
      </w:r>
      <w:r w:rsidR="00711F6F" w:rsidRPr="00AC0641">
        <w:rPr>
          <w:rFonts w:ascii="Arial" w:hAnsi="Arial" w:cs="Arial"/>
          <w:color w:val="000000"/>
          <w:sz w:val="20"/>
          <w:szCs w:val="20"/>
        </w:rPr>
        <w:t xml:space="preserve"> In </w:t>
      </w:r>
      <w:r>
        <w:rPr>
          <w:rFonts w:ascii="Arial" w:hAnsi="Arial" w:cs="Arial"/>
          <w:color w:val="000000"/>
          <w:sz w:val="20"/>
          <w:szCs w:val="20"/>
        </w:rPr>
        <w:t>such cases, the date of the submission shall be the date indicated at post stamp or courier notes.</w:t>
      </w:r>
    </w:p>
    <w:p w:rsidR="00AC0641" w:rsidRPr="0069642F" w:rsidRDefault="00AC0641" w:rsidP="00AC0641">
      <w:pPr>
        <w:pStyle w:val="ListParagraph"/>
        <w:autoSpaceDE w:val="0"/>
        <w:autoSpaceDN w:val="0"/>
        <w:adjustRightInd w:val="0"/>
        <w:spacing w:after="100" w:afterAutospacing="1" w:line="240" w:lineRule="auto"/>
        <w:jc w:val="both"/>
        <w:rPr>
          <w:rFonts w:ascii="Arial" w:hAnsi="Arial" w:cs="Arial"/>
          <w:color w:val="000000"/>
          <w:sz w:val="20"/>
          <w:szCs w:val="20"/>
        </w:rPr>
      </w:pPr>
    </w:p>
    <w:p w:rsidR="001C52C4" w:rsidRDefault="00711F6F" w:rsidP="00711F6F">
      <w:r>
        <w:t>Paper forms should be sent to the address below:</w:t>
      </w:r>
    </w:p>
    <w:p w:rsidR="003E55A5" w:rsidRDefault="003E55A5" w:rsidP="00711F6F">
      <w:r>
        <w:t>Project proposals “Unconventional Gas Institute”</w:t>
      </w:r>
    </w:p>
    <w:p w:rsidR="00711F6F" w:rsidRDefault="00711F6F" w:rsidP="00711F6F">
      <w:r>
        <w:t>British Council</w:t>
      </w:r>
    </w:p>
    <w:p w:rsidR="00711F6F" w:rsidRDefault="00711F6F" w:rsidP="00711F6F">
      <w:r>
        <w:t>4/12 Hryhoriya Skovorody Street</w:t>
      </w:r>
    </w:p>
    <w:p w:rsidR="00711F6F" w:rsidRPr="009A305D" w:rsidRDefault="00711F6F" w:rsidP="00711F6F">
      <w:r>
        <w:t>Kyiv 04070</w:t>
      </w:r>
    </w:p>
    <w:p w:rsidR="00711F6F" w:rsidRDefault="00711F6F"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3E55A5" w:rsidRDefault="003E55A5"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3E55A5" w:rsidRDefault="003E55A5"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3E55A5" w:rsidRDefault="003E55A5"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3E55A5" w:rsidRDefault="003E55A5"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3E55A5" w:rsidRDefault="003E55A5"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6C1332" w:rsidRDefault="006C1332" w:rsidP="00CA6AF3">
      <w:pPr>
        <w:autoSpaceDE w:val="0"/>
        <w:autoSpaceDN w:val="0"/>
        <w:adjustRightInd w:val="0"/>
        <w:spacing w:after="100" w:afterAutospacing="1"/>
        <w:rPr>
          <w:b/>
          <w:bCs/>
          <w:color w:val="000000"/>
        </w:rPr>
      </w:pPr>
    </w:p>
    <w:p w:rsidR="00CA6AF3" w:rsidRPr="00801D8E" w:rsidRDefault="003E55A5" w:rsidP="00CA6AF3">
      <w:pPr>
        <w:autoSpaceDE w:val="0"/>
        <w:autoSpaceDN w:val="0"/>
        <w:adjustRightInd w:val="0"/>
        <w:spacing w:after="100" w:afterAutospacing="1"/>
        <w:rPr>
          <w:b/>
          <w:bCs/>
          <w:color w:val="000000"/>
        </w:rPr>
      </w:pPr>
      <w:r>
        <w:rPr>
          <w:b/>
          <w:bCs/>
          <w:color w:val="000000"/>
        </w:rPr>
        <w:t xml:space="preserve">10. </w:t>
      </w:r>
      <w:r w:rsidR="00CA6AF3" w:rsidRPr="00801D8E">
        <w:rPr>
          <w:b/>
          <w:bCs/>
          <w:color w:val="000000"/>
        </w:rPr>
        <w:t>Acknowledgement of proposal receipt</w:t>
      </w:r>
    </w:p>
    <w:p w:rsidR="00CA6AF3" w:rsidRDefault="00CA6AF3" w:rsidP="00CA6AF3">
      <w:pPr>
        <w:autoSpaceDE w:val="0"/>
        <w:autoSpaceDN w:val="0"/>
        <w:adjustRightInd w:val="0"/>
        <w:spacing w:after="100" w:afterAutospacing="1"/>
        <w:rPr>
          <w:color w:val="000000"/>
        </w:rPr>
      </w:pPr>
      <w:r w:rsidRPr="00801D8E">
        <w:rPr>
          <w:color w:val="000000"/>
        </w:rPr>
        <w:t xml:space="preserve">Upon receipt of the </w:t>
      </w:r>
      <w:r w:rsidR="00F71651" w:rsidRPr="00801D8E">
        <w:rPr>
          <w:color w:val="000000"/>
        </w:rPr>
        <w:t>proposal</w:t>
      </w:r>
      <w:r w:rsidR="00F71651">
        <w:rPr>
          <w:color w:val="000000"/>
        </w:rPr>
        <w:t xml:space="preserve"> </w:t>
      </w:r>
      <w:r w:rsidR="00F71651" w:rsidRPr="00801D8E">
        <w:rPr>
          <w:color w:val="000000"/>
        </w:rPr>
        <w:t xml:space="preserve">the </w:t>
      </w:r>
      <w:r w:rsidR="00F71651">
        <w:rPr>
          <w:color w:val="000000"/>
          <w:lang w:val="en-US"/>
        </w:rPr>
        <w:t xml:space="preserve">applicant receives </w:t>
      </w:r>
      <w:r w:rsidRPr="00801D8E">
        <w:rPr>
          <w:color w:val="000000"/>
        </w:rPr>
        <w:t>an acknowledgement of receipt</w:t>
      </w:r>
      <w:r w:rsidR="00F71651">
        <w:rPr>
          <w:color w:val="000000"/>
        </w:rPr>
        <w:t xml:space="preserve"> either </w:t>
      </w:r>
      <w:r w:rsidRPr="00801D8E">
        <w:rPr>
          <w:color w:val="000000"/>
        </w:rPr>
        <w:t>by e-mai</w:t>
      </w:r>
      <w:r w:rsidR="00F71651">
        <w:rPr>
          <w:color w:val="000000"/>
        </w:rPr>
        <w:t xml:space="preserve"> or fax.  An acknowledgement will contain the</w:t>
      </w:r>
      <w:r w:rsidRPr="00801D8E">
        <w:rPr>
          <w:color w:val="000000"/>
        </w:rPr>
        <w:t xml:space="preserve"> proposal title</w:t>
      </w:r>
      <w:r w:rsidR="00AC0641">
        <w:rPr>
          <w:color w:val="000000"/>
        </w:rPr>
        <w:t>,</w:t>
      </w:r>
      <w:r w:rsidRPr="00801D8E">
        <w:rPr>
          <w:color w:val="000000"/>
        </w:rPr>
        <w:t xml:space="preserve"> unique propos</w:t>
      </w:r>
      <w:r w:rsidR="00F71651">
        <w:rPr>
          <w:color w:val="000000"/>
        </w:rPr>
        <w:t>al identifier (proposal number) and the</w:t>
      </w:r>
      <w:r w:rsidRPr="00801D8E">
        <w:rPr>
          <w:color w:val="000000"/>
        </w:rPr>
        <w:t xml:space="preserve"> date of receipt.</w:t>
      </w:r>
    </w:p>
    <w:p w:rsidR="006C1332" w:rsidRPr="006C1332" w:rsidRDefault="006C1332" w:rsidP="00CA6AF3">
      <w:pPr>
        <w:autoSpaceDE w:val="0"/>
        <w:autoSpaceDN w:val="0"/>
        <w:adjustRightInd w:val="0"/>
        <w:spacing w:after="100" w:afterAutospacing="1"/>
        <w:rPr>
          <w:b/>
          <w:color w:val="000000"/>
        </w:rPr>
      </w:pPr>
    </w:p>
    <w:p w:rsidR="006C1332" w:rsidRDefault="006C1332" w:rsidP="00CA6AF3">
      <w:pPr>
        <w:autoSpaceDE w:val="0"/>
        <w:autoSpaceDN w:val="0"/>
        <w:adjustRightInd w:val="0"/>
        <w:spacing w:after="100" w:afterAutospacing="1"/>
        <w:rPr>
          <w:b/>
          <w:color w:val="000000"/>
        </w:rPr>
      </w:pPr>
      <w:r w:rsidRPr="006C1332">
        <w:rPr>
          <w:b/>
          <w:color w:val="000000"/>
        </w:rPr>
        <w:t>11. General Call provisions</w:t>
      </w:r>
    </w:p>
    <w:p w:rsidR="006C1332" w:rsidRDefault="006C1332" w:rsidP="00CA6AF3">
      <w:pPr>
        <w:autoSpaceDE w:val="0"/>
        <w:autoSpaceDN w:val="0"/>
        <w:adjustRightInd w:val="0"/>
        <w:spacing w:after="100" w:afterAutospacing="1"/>
        <w:rPr>
          <w:color w:val="000000"/>
        </w:rPr>
      </w:pPr>
      <w:r w:rsidRPr="006C1332">
        <w:rPr>
          <w:color w:val="000000"/>
        </w:rPr>
        <w:t>At any time during the Call the Organisers</w:t>
      </w:r>
    </w:p>
    <w:p w:rsidR="006C1332" w:rsidRP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sidRPr="006C1332">
        <w:rPr>
          <w:rFonts w:ascii="Arial" w:hAnsi="Arial" w:cs="Arial"/>
          <w:color w:val="000000"/>
          <w:sz w:val="20"/>
          <w:szCs w:val="20"/>
        </w:rPr>
        <w:t xml:space="preserve">have the right to cancel the Call having informed the </w:t>
      </w:r>
      <w:r>
        <w:rPr>
          <w:rFonts w:ascii="Arial" w:hAnsi="Arial" w:cs="Arial"/>
          <w:color w:val="000000"/>
          <w:sz w:val="20"/>
          <w:szCs w:val="20"/>
        </w:rPr>
        <w:t>applicants;</w:t>
      </w:r>
    </w:p>
    <w:p w:rsidR="006C1332" w:rsidRP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sidRPr="006C1332">
        <w:rPr>
          <w:rFonts w:ascii="Arial" w:hAnsi="Arial" w:cs="Arial"/>
          <w:color w:val="000000"/>
          <w:sz w:val="20"/>
          <w:szCs w:val="20"/>
        </w:rPr>
        <w:t>have no obligation to choose any of the p</w:t>
      </w:r>
      <w:r>
        <w:rPr>
          <w:rFonts w:ascii="Arial" w:hAnsi="Arial" w:cs="Arial"/>
          <w:color w:val="000000"/>
          <w:sz w:val="20"/>
          <w:szCs w:val="20"/>
        </w:rPr>
        <w:t>roject</w:t>
      </w:r>
      <w:r w:rsidRPr="006C1332">
        <w:rPr>
          <w:rFonts w:ascii="Arial" w:hAnsi="Arial" w:cs="Arial"/>
          <w:color w:val="000000"/>
          <w:sz w:val="20"/>
          <w:szCs w:val="20"/>
        </w:rPr>
        <w:t xml:space="preserve"> proposal</w:t>
      </w:r>
      <w:r>
        <w:rPr>
          <w:rFonts w:ascii="Arial" w:hAnsi="Arial" w:cs="Arial"/>
          <w:color w:val="000000"/>
          <w:sz w:val="20"/>
          <w:szCs w:val="20"/>
        </w:rPr>
        <w:t>;</w:t>
      </w:r>
    </w:p>
    <w:p w:rsidR="006C1332" w:rsidRP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sidRPr="006C1332">
        <w:rPr>
          <w:rFonts w:ascii="Arial" w:hAnsi="Arial" w:cs="Arial"/>
          <w:color w:val="000000"/>
          <w:sz w:val="20"/>
          <w:szCs w:val="20"/>
        </w:rPr>
        <w:t>have the right to waive all or part of the project</w:t>
      </w:r>
      <w:r>
        <w:rPr>
          <w:rFonts w:ascii="Arial" w:hAnsi="Arial" w:cs="Arial"/>
          <w:color w:val="000000"/>
          <w:sz w:val="20"/>
          <w:szCs w:val="20"/>
        </w:rPr>
        <w:t xml:space="preserve"> proposals;</w:t>
      </w:r>
    </w:p>
    <w:p w:rsid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sidRPr="006C1332">
        <w:rPr>
          <w:rFonts w:ascii="Arial" w:hAnsi="Arial" w:cs="Arial"/>
          <w:color w:val="000000"/>
          <w:sz w:val="20"/>
          <w:szCs w:val="20"/>
        </w:rPr>
        <w:t xml:space="preserve">have no obligation to substantiate waiver of any project proposal and make </w:t>
      </w:r>
      <w:r>
        <w:rPr>
          <w:rFonts w:ascii="Arial" w:hAnsi="Arial" w:cs="Arial"/>
          <w:color w:val="000000"/>
          <w:sz w:val="20"/>
          <w:szCs w:val="20"/>
        </w:rPr>
        <w:t>details or results of any bid co</w:t>
      </w:r>
      <w:r w:rsidRPr="006C1332">
        <w:rPr>
          <w:rFonts w:ascii="Arial" w:hAnsi="Arial" w:cs="Arial"/>
          <w:color w:val="000000"/>
          <w:sz w:val="20"/>
          <w:szCs w:val="20"/>
        </w:rPr>
        <w:t>nsideration public</w:t>
      </w:r>
      <w:r>
        <w:rPr>
          <w:rFonts w:ascii="Arial" w:hAnsi="Arial" w:cs="Arial"/>
          <w:color w:val="000000"/>
          <w:sz w:val="20"/>
          <w:szCs w:val="20"/>
        </w:rPr>
        <w:t>;</w:t>
      </w:r>
    </w:p>
    <w:p w:rsid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Pr>
          <w:rFonts w:ascii="Arial" w:hAnsi="Arial" w:cs="Arial"/>
          <w:color w:val="000000"/>
          <w:sz w:val="20"/>
          <w:szCs w:val="20"/>
        </w:rPr>
        <w:t>have the right to request additional clarifications fo</w:t>
      </w:r>
      <w:r w:rsidR="00AD298F">
        <w:rPr>
          <w:rFonts w:ascii="Arial" w:hAnsi="Arial" w:cs="Arial"/>
          <w:color w:val="000000"/>
          <w:sz w:val="20"/>
          <w:szCs w:val="20"/>
        </w:rPr>
        <w:t>r</w:t>
      </w:r>
      <w:r>
        <w:rPr>
          <w:rFonts w:ascii="Arial" w:hAnsi="Arial" w:cs="Arial"/>
          <w:color w:val="000000"/>
          <w:sz w:val="20"/>
          <w:szCs w:val="20"/>
        </w:rPr>
        <w:t xml:space="preserve"> any project proposal at any time upon receipt and appraisal thereof, however before</w:t>
      </w:r>
      <w:r w:rsidR="00AD298F">
        <w:rPr>
          <w:rFonts w:ascii="Arial" w:hAnsi="Arial" w:cs="Arial"/>
          <w:color w:val="000000"/>
          <w:sz w:val="20"/>
          <w:szCs w:val="20"/>
        </w:rPr>
        <w:t xml:space="preserve"> the </w:t>
      </w:r>
      <w:r>
        <w:rPr>
          <w:rFonts w:ascii="Arial" w:hAnsi="Arial" w:cs="Arial"/>
          <w:color w:val="000000"/>
          <w:sz w:val="20"/>
          <w:szCs w:val="20"/>
        </w:rPr>
        <w:t>announcement of Call results</w:t>
      </w:r>
      <w:r w:rsidR="00537446">
        <w:rPr>
          <w:rFonts w:ascii="Arial" w:hAnsi="Arial" w:cs="Arial"/>
          <w:color w:val="000000"/>
          <w:sz w:val="20"/>
          <w:szCs w:val="20"/>
        </w:rPr>
        <w:t>;</w:t>
      </w:r>
    </w:p>
    <w:p w:rsid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r>
        <w:rPr>
          <w:rFonts w:ascii="Arial" w:hAnsi="Arial" w:cs="Arial"/>
          <w:color w:val="000000"/>
          <w:sz w:val="20"/>
          <w:szCs w:val="20"/>
        </w:rPr>
        <w:t>will under no circumstances redeem to applicants any damage/damages that may be incurred as a result  or in connection with the Call, including, but not limited to Organisers’ waiver to carry out the Call, waiver of all project proposals and awarding the Call to none of the applicants</w:t>
      </w:r>
      <w:r w:rsidR="00537446">
        <w:rPr>
          <w:rFonts w:ascii="Arial" w:hAnsi="Arial" w:cs="Arial"/>
          <w:color w:val="000000"/>
          <w:sz w:val="20"/>
          <w:szCs w:val="20"/>
        </w:rPr>
        <w:t>;</w:t>
      </w:r>
    </w:p>
    <w:p w:rsidR="006C1332" w:rsidRPr="006C1332" w:rsidRDefault="006C1332" w:rsidP="006C1332">
      <w:pPr>
        <w:pStyle w:val="ListParagraph"/>
        <w:numPr>
          <w:ilvl w:val="0"/>
          <w:numId w:val="23"/>
        </w:numPr>
        <w:autoSpaceDE w:val="0"/>
        <w:autoSpaceDN w:val="0"/>
        <w:adjustRightInd w:val="0"/>
        <w:spacing w:after="100" w:afterAutospacing="1"/>
        <w:rPr>
          <w:rFonts w:ascii="Arial" w:hAnsi="Arial" w:cs="Arial"/>
          <w:color w:val="000000"/>
          <w:sz w:val="20"/>
          <w:szCs w:val="20"/>
        </w:rPr>
      </w:pPr>
      <w:proofErr w:type="gramStart"/>
      <w:r>
        <w:rPr>
          <w:rFonts w:ascii="Arial" w:hAnsi="Arial" w:cs="Arial"/>
          <w:color w:val="000000"/>
          <w:sz w:val="20"/>
          <w:szCs w:val="20"/>
        </w:rPr>
        <w:t>preserve</w:t>
      </w:r>
      <w:proofErr w:type="gramEnd"/>
      <w:r>
        <w:rPr>
          <w:rFonts w:ascii="Arial" w:hAnsi="Arial" w:cs="Arial"/>
          <w:color w:val="000000"/>
          <w:sz w:val="20"/>
          <w:szCs w:val="20"/>
        </w:rPr>
        <w:t xml:space="preserve"> the right to disqualify any applicant(s) and shall not substantiate reasons for disqualification</w:t>
      </w:r>
      <w:r w:rsidR="00537446">
        <w:rPr>
          <w:rFonts w:ascii="Arial" w:hAnsi="Arial" w:cs="Arial"/>
          <w:color w:val="000000"/>
          <w:sz w:val="20"/>
          <w:szCs w:val="20"/>
        </w:rPr>
        <w:t>.</w:t>
      </w:r>
    </w:p>
    <w:p w:rsidR="006C1332" w:rsidRPr="006C1332" w:rsidRDefault="006C1332" w:rsidP="00CA6AF3">
      <w:pPr>
        <w:autoSpaceDE w:val="0"/>
        <w:autoSpaceDN w:val="0"/>
        <w:adjustRightInd w:val="0"/>
        <w:spacing w:after="100" w:afterAutospacing="1"/>
        <w:rPr>
          <w:b/>
          <w:color w:val="000000"/>
        </w:rPr>
      </w:pPr>
    </w:p>
    <w:p w:rsidR="00CA6AF3" w:rsidRPr="00711F6F" w:rsidRDefault="00CA6AF3" w:rsidP="00711F6F">
      <w:pPr>
        <w:pStyle w:val="ListParagraph"/>
        <w:autoSpaceDE w:val="0"/>
        <w:autoSpaceDN w:val="0"/>
        <w:adjustRightInd w:val="0"/>
        <w:spacing w:after="100" w:afterAutospacing="1" w:line="240" w:lineRule="auto"/>
        <w:jc w:val="both"/>
        <w:rPr>
          <w:rFonts w:ascii="Arial" w:hAnsi="Arial" w:cs="Arial"/>
          <w:color w:val="000000"/>
          <w:sz w:val="20"/>
          <w:szCs w:val="20"/>
          <w:lang w:val="en-GB"/>
        </w:rPr>
      </w:pPr>
    </w:p>
    <w:p w:rsidR="00711F6F" w:rsidRPr="00711F6F" w:rsidRDefault="00711F6F" w:rsidP="00B21848">
      <w:pPr>
        <w:rPr>
          <w:lang w:val="en-US"/>
        </w:rPr>
      </w:pPr>
    </w:p>
    <w:p w:rsidR="00711F6F" w:rsidRDefault="00711F6F" w:rsidP="00B21848"/>
    <w:p w:rsidR="002B2D3A" w:rsidRPr="00420DBB" w:rsidRDefault="002B2D3A" w:rsidP="00B21848"/>
    <w:p w:rsidR="002B2D3A" w:rsidRPr="00420DBB" w:rsidRDefault="002B2D3A" w:rsidP="00B21848"/>
    <w:p w:rsidR="002B2D3A" w:rsidRPr="000E05E2" w:rsidRDefault="002B2D3A" w:rsidP="00B21848"/>
    <w:sectPr w:rsidR="002B2D3A" w:rsidRPr="000E05E2" w:rsidSect="001677F5">
      <w:headerReference w:type="default" r:id="rId9"/>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5E" w:rsidRDefault="00C53D5E" w:rsidP="00DC3F8E">
      <w:pPr>
        <w:pStyle w:val="NumberedSubHeading"/>
      </w:pPr>
      <w:r>
        <w:separator/>
      </w:r>
    </w:p>
  </w:endnote>
  <w:endnote w:type="continuationSeparator" w:id="0">
    <w:p w:rsidR="00C53D5E" w:rsidRDefault="00C53D5E" w:rsidP="00DC3F8E">
      <w:pPr>
        <w:pStyle w:val="NumberedSub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5E" w:rsidRDefault="00C53D5E" w:rsidP="00DC3F8E">
      <w:pPr>
        <w:pStyle w:val="NumberedSubHeading"/>
      </w:pPr>
      <w:r>
        <w:separator/>
      </w:r>
    </w:p>
  </w:footnote>
  <w:footnote w:type="continuationSeparator" w:id="0">
    <w:p w:rsidR="00C53D5E" w:rsidRDefault="00C53D5E" w:rsidP="00DC3F8E">
      <w:pPr>
        <w:pStyle w:val="NumberedSubHead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13" w:rsidRDefault="007C1AE7" w:rsidP="003C5E13">
    <w:pPr>
      <w:pStyle w:val="Header"/>
      <w:jc w:val="center"/>
      <w:rPr>
        <w:b/>
        <w:bCs/>
        <w:sz w:val="28"/>
        <w:szCs w:val="28"/>
      </w:rPr>
    </w:pPr>
    <w:r>
      <w:rPr>
        <w:b/>
        <w:bCs/>
        <w:sz w:val="28"/>
        <w:szCs w:val="28"/>
      </w:rPr>
      <w:t xml:space="preserve">UKRAINAN </w:t>
    </w:r>
    <w:r w:rsidR="00EC6179">
      <w:rPr>
        <w:b/>
        <w:bCs/>
        <w:sz w:val="28"/>
        <w:szCs w:val="28"/>
      </w:rPr>
      <w:t xml:space="preserve">INSTITUTE OF </w:t>
    </w:r>
    <w:r>
      <w:rPr>
        <w:b/>
        <w:bCs/>
        <w:sz w:val="28"/>
        <w:szCs w:val="28"/>
      </w:rPr>
      <w:t xml:space="preserve">UNCONVENTIONAL GAS </w:t>
    </w:r>
    <w:r w:rsidR="00EC6179">
      <w:rPr>
        <w:b/>
        <w:bCs/>
        <w:sz w:val="28"/>
        <w:szCs w:val="28"/>
      </w:rPr>
      <w:t>PROJECT RELATED TO STUDY OF NON-TECHNICAL APECTS OF UNCONVENTIONAL GAS</w:t>
    </w:r>
  </w:p>
  <w:p w:rsidR="000A46F0" w:rsidRDefault="007C1AE7" w:rsidP="008E2981">
    <w:pPr>
      <w:pStyle w:val="Header"/>
      <w:jc w:val="center"/>
    </w:pPr>
    <w:r>
      <w:rPr>
        <w:b/>
        <w:bCs/>
        <w:sz w:val="28"/>
        <w:szCs w:val="28"/>
      </w:rPr>
      <w:t xml:space="preserve">CALL FOR </w:t>
    </w:r>
    <w:r w:rsidR="003C5E13">
      <w:rPr>
        <w:b/>
        <w:bCs/>
        <w:sz w:val="28"/>
        <w:szCs w:val="28"/>
      </w:rPr>
      <w:t>PROJECT PROPOSALS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A9A10"/>
    <w:lvl w:ilvl="0">
      <w:start w:val="1"/>
      <w:numFmt w:val="decimal"/>
      <w:lvlText w:val="%1."/>
      <w:lvlJc w:val="left"/>
      <w:pPr>
        <w:tabs>
          <w:tab w:val="num" w:pos="1492"/>
        </w:tabs>
        <w:ind w:left="1492" w:hanging="360"/>
      </w:pPr>
    </w:lvl>
  </w:abstractNum>
  <w:abstractNum w:abstractNumId="1">
    <w:nsid w:val="FFFFFF7D"/>
    <w:multiLevelType w:val="singleLevel"/>
    <w:tmpl w:val="31222CD8"/>
    <w:lvl w:ilvl="0">
      <w:start w:val="1"/>
      <w:numFmt w:val="decimal"/>
      <w:lvlText w:val="%1."/>
      <w:lvlJc w:val="left"/>
      <w:pPr>
        <w:tabs>
          <w:tab w:val="num" w:pos="1209"/>
        </w:tabs>
        <w:ind w:left="1209" w:hanging="360"/>
      </w:pPr>
    </w:lvl>
  </w:abstractNum>
  <w:abstractNum w:abstractNumId="2">
    <w:nsid w:val="FFFFFF7E"/>
    <w:multiLevelType w:val="singleLevel"/>
    <w:tmpl w:val="3DEACD68"/>
    <w:lvl w:ilvl="0">
      <w:start w:val="1"/>
      <w:numFmt w:val="decimal"/>
      <w:lvlText w:val="%1."/>
      <w:lvlJc w:val="left"/>
      <w:pPr>
        <w:tabs>
          <w:tab w:val="num" w:pos="926"/>
        </w:tabs>
        <w:ind w:left="926" w:hanging="360"/>
      </w:pPr>
    </w:lvl>
  </w:abstractNum>
  <w:abstractNum w:abstractNumId="3">
    <w:nsid w:val="FFFFFF7F"/>
    <w:multiLevelType w:val="singleLevel"/>
    <w:tmpl w:val="4F165E3A"/>
    <w:lvl w:ilvl="0">
      <w:start w:val="1"/>
      <w:numFmt w:val="decimal"/>
      <w:lvlText w:val="%1."/>
      <w:lvlJc w:val="left"/>
      <w:pPr>
        <w:tabs>
          <w:tab w:val="num" w:pos="643"/>
        </w:tabs>
        <w:ind w:left="643" w:hanging="360"/>
      </w:p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0B978D9"/>
    <w:multiLevelType w:val="hybridMultilevel"/>
    <w:tmpl w:val="7F8CC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2">
    <w:nsid w:val="0B641AC2"/>
    <w:multiLevelType w:val="hybridMultilevel"/>
    <w:tmpl w:val="805E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27277D"/>
    <w:multiLevelType w:val="hybridMultilevel"/>
    <w:tmpl w:val="33E2E9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nsid w:val="20F92B0E"/>
    <w:multiLevelType w:val="hybridMultilevel"/>
    <w:tmpl w:val="BB1CC7CC"/>
    <w:lvl w:ilvl="0" w:tplc="9DA2BC28">
      <w:start w:val="1"/>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49866089"/>
    <w:multiLevelType w:val="hybridMultilevel"/>
    <w:tmpl w:val="2CAADE08"/>
    <w:lvl w:ilvl="0" w:tplc="751E8E08">
      <w:start w:val="1"/>
      <w:numFmt w:val="decimal"/>
      <w:lvlText w:val="%1."/>
      <w:lvlJc w:val="left"/>
      <w:pPr>
        <w:tabs>
          <w:tab w:val="num" w:pos="644"/>
        </w:tabs>
        <w:ind w:left="644" w:hanging="360"/>
      </w:pPr>
      <w:rPr>
        <w:b/>
      </w:rPr>
    </w:lvl>
    <w:lvl w:ilvl="1" w:tplc="08090001">
      <w:start w:val="1"/>
      <w:numFmt w:val="bullet"/>
      <w:lvlText w:val=""/>
      <w:lvlJc w:val="left"/>
      <w:pPr>
        <w:tabs>
          <w:tab w:val="num" w:pos="1364"/>
        </w:tabs>
        <w:ind w:left="1364" w:hanging="360"/>
      </w:pPr>
      <w:rPr>
        <w:rFonts w:ascii="Symbol" w:hAnsi="Symbol" w:hint="default"/>
        <w:b/>
      </w:rPr>
    </w:lvl>
    <w:lvl w:ilvl="2" w:tplc="891465C2">
      <w:start w:val="2"/>
      <w:numFmt w:val="bullet"/>
      <w:lvlText w:val="-"/>
      <w:lvlJc w:val="left"/>
      <w:pPr>
        <w:tabs>
          <w:tab w:val="num" w:pos="1211"/>
        </w:tabs>
        <w:ind w:left="1211" w:hanging="360"/>
      </w:pPr>
      <w:rPr>
        <w:rFonts w:ascii="Arial" w:eastAsia="SimSun" w:hAnsi="Arial" w:cs="Arial" w:hint="default"/>
      </w:r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nsid w:val="5D10755E"/>
    <w:multiLevelType w:val="hybridMultilevel"/>
    <w:tmpl w:val="ED9C3EF2"/>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18A37C6"/>
    <w:multiLevelType w:val="hybridMultilevel"/>
    <w:tmpl w:val="C6D683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C8F7AC2"/>
    <w:multiLevelType w:val="hybridMultilevel"/>
    <w:tmpl w:val="4D64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E022E5"/>
    <w:multiLevelType w:val="hybridMultilevel"/>
    <w:tmpl w:val="BAE2FB62"/>
    <w:lvl w:ilvl="0" w:tplc="9BEC54EE">
      <w:numFmt w:val="bullet"/>
      <w:lvlText w:val="-"/>
      <w:lvlJc w:val="left"/>
      <w:pPr>
        <w:ind w:left="420" w:hanging="360"/>
      </w:pPr>
      <w:rPr>
        <w:rFonts w:ascii="Arial" w:eastAsia="SimSun" w:hAnsi="Arial" w:cs="Arial"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num>
  <w:num w:numId="13">
    <w:abstractNumId w:val="11"/>
  </w:num>
  <w:num w:numId="14">
    <w:abstractNumId w:val="21"/>
  </w:num>
  <w:num w:numId="15">
    <w:abstractNumId w:val="16"/>
  </w:num>
  <w:num w:numId="16">
    <w:abstractNumId w:val="20"/>
  </w:num>
  <w:num w:numId="17">
    <w:abstractNumId w:val="13"/>
  </w:num>
  <w:num w:numId="18">
    <w:abstractNumId w:val="10"/>
  </w:num>
  <w:num w:numId="19">
    <w:abstractNumId w:val="15"/>
  </w:num>
  <w:num w:numId="20">
    <w:abstractNumId w:val="17"/>
  </w:num>
  <w:num w:numId="21">
    <w:abstractNumId w:val="18"/>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48"/>
    <w:rsid w:val="000110D1"/>
    <w:rsid w:val="00011B89"/>
    <w:rsid w:val="00025D6F"/>
    <w:rsid w:val="00036065"/>
    <w:rsid w:val="00041105"/>
    <w:rsid w:val="0004399F"/>
    <w:rsid w:val="00047BCB"/>
    <w:rsid w:val="00052E7A"/>
    <w:rsid w:val="00065C6F"/>
    <w:rsid w:val="00067743"/>
    <w:rsid w:val="00097314"/>
    <w:rsid w:val="000A46F0"/>
    <w:rsid w:val="000B5C05"/>
    <w:rsid w:val="000C2E41"/>
    <w:rsid w:val="000D07B0"/>
    <w:rsid w:val="000E05E2"/>
    <w:rsid w:val="000E3763"/>
    <w:rsid w:val="000F7227"/>
    <w:rsid w:val="001038BA"/>
    <w:rsid w:val="001110DD"/>
    <w:rsid w:val="00112BDD"/>
    <w:rsid w:val="00131EEC"/>
    <w:rsid w:val="00167423"/>
    <w:rsid w:val="001677F5"/>
    <w:rsid w:val="00182730"/>
    <w:rsid w:val="001B0F46"/>
    <w:rsid w:val="001C52C4"/>
    <w:rsid w:val="001E1AB9"/>
    <w:rsid w:val="001F23FF"/>
    <w:rsid w:val="00231816"/>
    <w:rsid w:val="00236C90"/>
    <w:rsid w:val="00276E51"/>
    <w:rsid w:val="002B2D3A"/>
    <w:rsid w:val="002C39F0"/>
    <w:rsid w:val="002E2A95"/>
    <w:rsid w:val="002E47B5"/>
    <w:rsid w:val="002E5879"/>
    <w:rsid w:val="002F52F1"/>
    <w:rsid w:val="002F5EE2"/>
    <w:rsid w:val="0032575C"/>
    <w:rsid w:val="00362AD9"/>
    <w:rsid w:val="00373DA5"/>
    <w:rsid w:val="00375335"/>
    <w:rsid w:val="00381195"/>
    <w:rsid w:val="003A0A6E"/>
    <w:rsid w:val="003C5E13"/>
    <w:rsid w:val="003E55A5"/>
    <w:rsid w:val="003F31D8"/>
    <w:rsid w:val="0040578C"/>
    <w:rsid w:val="00420DBB"/>
    <w:rsid w:val="00430E2E"/>
    <w:rsid w:val="004345E1"/>
    <w:rsid w:val="00442BB4"/>
    <w:rsid w:val="00471B7A"/>
    <w:rsid w:val="0047205B"/>
    <w:rsid w:val="00482E53"/>
    <w:rsid w:val="004A64B3"/>
    <w:rsid w:val="004C323B"/>
    <w:rsid w:val="004D6252"/>
    <w:rsid w:val="004E775C"/>
    <w:rsid w:val="0051192C"/>
    <w:rsid w:val="00523D54"/>
    <w:rsid w:val="00527058"/>
    <w:rsid w:val="00537446"/>
    <w:rsid w:val="00562D96"/>
    <w:rsid w:val="005807FE"/>
    <w:rsid w:val="005A5185"/>
    <w:rsid w:val="005C2FB9"/>
    <w:rsid w:val="00661087"/>
    <w:rsid w:val="0066289F"/>
    <w:rsid w:val="00680EBD"/>
    <w:rsid w:val="0069642F"/>
    <w:rsid w:val="006C1332"/>
    <w:rsid w:val="006C2DB2"/>
    <w:rsid w:val="006C6EF1"/>
    <w:rsid w:val="00711F6F"/>
    <w:rsid w:val="0071237F"/>
    <w:rsid w:val="00713562"/>
    <w:rsid w:val="00714D5C"/>
    <w:rsid w:val="007179AB"/>
    <w:rsid w:val="007252D8"/>
    <w:rsid w:val="00736B1F"/>
    <w:rsid w:val="00771514"/>
    <w:rsid w:val="00775BF9"/>
    <w:rsid w:val="0078324F"/>
    <w:rsid w:val="007A66FC"/>
    <w:rsid w:val="007C1AE7"/>
    <w:rsid w:val="007C497A"/>
    <w:rsid w:val="007D76F2"/>
    <w:rsid w:val="007E26EF"/>
    <w:rsid w:val="00801D8E"/>
    <w:rsid w:val="00813063"/>
    <w:rsid w:val="0085660C"/>
    <w:rsid w:val="0087239A"/>
    <w:rsid w:val="00874ED6"/>
    <w:rsid w:val="008968A0"/>
    <w:rsid w:val="008E1877"/>
    <w:rsid w:val="008E2981"/>
    <w:rsid w:val="008E3E4C"/>
    <w:rsid w:val="008E4BB7"/>
    <w:rsid w:val="008E76A8"/>
    <w:rsid w:val="00913682"/>
    <w:rsid w:val="0092785C"/>
    <w:rsid w:val="00946BE4"/>
    <w:rsid w:val="0095350D"/>
    <w:rsid w:val="009A305D"/>
    <w:rsid w:val="009C08C4"/>
    <w:rsid w:val="009D1BA8"/>
    <w:rsid w:val="009F47D6"/>
    <w:rsid w:val="00A13BAD"/>
    <w:rsid w:val="00A35F06"/>
    <w:rsid w:val="00A36F3A"/>
    <w:rsid w:val="00A4096A"/>
    <w:rsid w:val="00A4441A"/>
    <w:rsid w:val="00A97A9F"/>
    <w:rsid w:val="00AB5A1B"/>
    <w:rsid w:val="00AC0641"/>
    <w:rsid w:val="00AD298F"/>
    <w:rsid w:val="00AD6E09"/>
    <w:rsid w:val="00AE12FC"/>
    <w:rsid w:val="00B21848"/>
    <w:rsid w:val="00B22620"/>
    <w:rsid w:val="00B2336F"/>
    <w:rsid w:val="00B3036F"/>
    <w:rsid w:val="00B674C0"/>
    <w:rsid w:val="00B90065"/>
    <w:rsid w:val="00B947F2"/>
    <w:rsid w:val="00BB320F"/>
    <w:rsid w:val="00BB6D7D"/>
    <w:rsid w:val="00BE2C3B"/>
    <w:rsid w:val="00C03DB7"/>
    <w:rsid w:val="00C15263"/>
    <w:rsid w:val="00C172EB"/>
    <w:rsid w:val="00C20AF5"/>
    <w:rsid w:val="00C34307"/>
    <w:rsid w:val="00C37DA8"/>
    <w:rsid w:val="00C53D5E"/>
    <w:rsid w:val="00C72C6D"/>
    <w:rsid w:val="00CA6AF3"/>
    <w:rsid w:val="00CF21F1"/>
    <w:rsid w:val="00CF6910"/>
    <w:rsid w:val="00D52394"/>
    <w:rsid w:val="00DA4678"/>
    <w:rsid w:val="00DB311B"/>
    <w:rsid w:val="00DC3575"/>
    <w:rsid w:val="00DC3F8E"/>
    <w:rsid w:val="00DD1DD3"/>
    <w:rsid w:val="00DE027D"/>
    <w:rsid w:val="00DE66B8"/>
    <w:rsid w:val="00DF2D4F"/>
    <w:rsid w:val="00E05BA9"/>
    <w:rsid w:val="00E211E2"/>
    <w:rsid w:val="00E22ADE"/>
    <w:rsid w:val="00E36E5C"/>
    <w:rsid w:val="00E66316"/>
    <w:rsid w:val="00E74DB8"/>
    <w:rsid w:val="00EC2297"/>
    <w:rsid w:val="00EC6179"/>
    <w:rsid w:val="00ED76C5"/>
    <w:rsid w:val="00EE01F5"/>
    <w:rsid w:val="00EF0AF8"/>
    <w:rsid w:val="00EF1868"/>
    <w:rsid w:val="00F15AF9"/>
    <w:rsid w:val="00F20179"/>
    <w:rsid w:val="00F2529E"/>
    <w:rsid w:val="00F27C86"/>
    <w:rsid w:val="00F4098D"/>
    <w:rsid w:val="00F417EC"/>
    <w:rsid w:val="00F44866"/>
    <w:rsid w:val="00F570AF"/>
    <w:rsid w:val="00F62128"/>
    <w:rsid w:val="00F71651"/>
    <w:rsid w:val="00F94393"/>
    <w:rsid w:val="00F9566D"/>
    <w:rsid w:val="00FB1206"/>
    <w:rsid w:val="00FC2B6C"/>
    <w:rsid w:val="00FD16CB"/>
    <w:rsid w:val="00FF4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848"/>
    <w:rPr>
      <w:rFonts w:ascii="Arial" w:hAnsi="Arial" w:cs="Arial"/>
      <w:lang w:val="en-GB" w:eastAsia="zh-CN"/>
    </w:rPr>
  </w:style>
  <w:style w:type="paragraph" w:styleId="Heading6">
    <w:name w:val="heading 6"/>
    <w:basedOn w:val="Normal"/>
    <w:next w:val="Normal"/>
    <w:qFormat/>
    <w:rsid w:val="001677F5"/>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rsid w:val="001677F5"/>
    <w:pPr>
      <w:pageBreakBefore/>
      <w:spacing w:before="480" w:after="280"/>
    </w:pPr>
    <w:rPr>
      <w:sz w:val="44"/>
      <w:szCs w:val="44"/>
    </w:rPr>
  </w:style>
  <w:style w:type="paragraph" w:styleId="TOC9">
    <w:name w:val="toc 9"/>
    <w:basedOn w:val="Normal"/>
    <w:next w:val="Normal"/>
    <w:autoRedefine/>
    <w:semiHidden/>
    <w:rsid w:val="001677F5"/>
    <w:pPr>
      <w:ind w:left="1600"/>
    </w:pPr>
  </w:style>
  <w:style w:type="paragraph" w:customStyle="1" w:styleId="SubHeading">
    <w:name w:val="Sub Heading"/>
    <w:basedOn w:val="Normal"/>
    <w:next w:val="Normal"/>
    <w:rsid w:val="001677F5"/>
    <w:pPr>
      <w:keepNext/>
      <w:spacing w:before="440" w:after="280"/>
    </w:pPr>
    <w:rPr>
      <w:b/>
      <w:bCs/>
      <w:sz w:val="24"/>
      <w:szCs w:val="24"/>
    </w:rPr>
  </w:style>
  <w:style w:type="paragraph" w:customStyle="1" w:styleId="NumberedSubHeading">
    <w:name w:val="Numbered Sub Heading"/>
    <w:basedOn w:val="Normal"/>
    <w:next w:val="Normal"/>
    <w:rsid w:val="001677F5"/>
    <w:pPr>
      <w:keepNext/>
      <w:numPr>
        <w:numId w:val="11"/>
      </w:numPr>
      <w:spacing w:before="440" w:after="40"/>
    </w:pPr>
    <w:rPr>
      <w:b/>
      <w:bCs/>
      <w:sz w:val="22"/>
      <w:szCs w:val="22"/>
    </w:rPr>
  </w:style>
  <w:style w:type="paragraph" w:customStyle="1" w:styleId="NumberedBodyText">
    <w:name w:val="Numbered Body Text"/>
    <w:basedOn w:val="Normal"/>
    <w:rsid w:val="001677F5"/>
    <w:pPr>
      <w:numPr>
        <w:ilvl w:val="1"/>
        <w:numId w:val="12"/>
      </w:numPr>
      <w:spacing w:before="180"/>
    </w:pPr>
  </w:style>
  <w:style w:type="paragraph" w:customStyle="1" w:styleId="NumberedParagraph">
    <w:name w:val="Numbered Paragraph"/>
    <w:basedOn w:val="Normal"/>
    <w:rsid w:val="001677F5"/>
    <w:pPr>
      <w:numPr>
        <w:numId w:val="13"/>
      </w:numPr>
      <w:spacing w:before="180"/>
    </w:pPr>
  </w:style>
  <w:style w:type="paragraph" w:customStyle="1" w:styleId="Bullet">
    <w:name w:val="Bullet"/>
    <w:basedOn w:val="Normal"/>
    <w:rsid w:val="001677F5"/>
    <w:pPr>
      <w:numPr>
        <w:numId w:val="14"/>
      </w:numPr>
      <w:tabs>
        <w:tab w:val="clear" w:pos="360"/>
        <w:tab w:val="num" w:pos="567"/>
      </w:tabs>
      <w:spacing w:before="180"/>
      <w:ind w:left="567" w:hanging="567"/>
    </w:pPr>
  </w:style>
  <w:style w:type="paragraph" w:styleId="Header">
    <w:name w:val="header"/>
    <w:basedOn w:val="Normal"/>
    <w:rsid w:val="00B21848"/>
    <w:pPr>
      <w:tabs>
        <w:tab w:val="center" w:pos="4153"/>
        <w:tab w:val="right" w:pos="8306"/>
      </w:tabs>
    </w:pPr>
  </w:style>
  <w:style w:type="paragraph" w:styleId="Footer">
    <w:name w:val="footer"/>
    <w:basedOn w:val="Normal"/>
    <w:rsid w:val="001677F5"/>
    <w:pPr>
      <w:tabs>
        <w:tab w:val="center" w:pos="4153"/>
        <w:tab w:val="right" w:pos="8306"/>
      </w:tabs>
    </w:pPr>
    <w:rPr>
      <w:sz w:val="12"/>
      <w:szCs w:val="12"/>
    </w:rPr>
  </w:style>
  <w:style w:type="character" w:styleId="Hyperlink">
    <w:name w:val="Hyperlink"/>
    <w:rsid w:val="00B21848"/>
    <w:rPr>
      <w:color w:val="0000FF"/>
      <w:u w:val="single"/>
    </w:rPr>
  </w:style>
  <w:style w:type="character" w:customStyle="1" w:styleId="apple-style-span">
    <w:name w:val="apple-style-span"/>
    <w:basedOn w:val="DefaultParagraphFont"/>
    <w:rsid w:val="00775BF9"/>
  </w:style>
  <w:style w:type="character" w:styleId="Strong">
    <w:name w:val="Strong"/>
    <w:qFormat/>
    <w:rsid w:val="00775BF9"/>
    <w:rPr>
      <w:b/>
      <w:bCs/>
    </w:rPr>
  </w:style>
  <w:style w:type="character" w:customStyle="1" w:styleId="apple-converted-space">
    <w:name w:val="apple-converted-space"/>
    <w:basedOn w:val="DefaultParagraphFont"/>
    <w:rsid w:val="00775BF9"/>
  </w:style>
  <w:style w:type="paragraph" w:styleId="NormalWeb">
    <w:name w:val="Normal (Web)"/>
    <w:basedOn w:val="Normal"/>
    <w:rsid w:val="00775BF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ertext">
    <w:name w:val="headertext"/>
    <w:basedOn w:val="DefaultParagraphFont"/>
    <w:rsid w:val="00775BF9"/>
  </w:style>
  <w:style w:type="paragraph" w:styleId="ListParagraph">
    <w:name w:val="List Paragraph"/>
    <w:basedOn w:val="Normal"/>
    <w:uiPriority w:val="34"/>
    <w:qFormat/>
    <w:rsid w:val="00236C90"/>
    <w:pPr>
      <w:spacing w:after="200" w:line="276" w:lineRule="auto"/>
      <w:ind w:left="720"/>
      <w:contextualSpacing/>
    </w:pPr>
    <w:rPr>
      <w:rFonts w:ascii="Calibri" w:eastAsia="Times New Roman" w:hAnsi="Calibri" w:cs="Times New Roman"/>
      <w:sz w:val="22"/>
      <w:szCs w:val="22"/>
      <w:lang w:val="en-US" w:eastAsia="en-US"/>
    </w:rPr>
  </w:style>
  <w:style w:type="table" w:styleId="TableGrid">
    <w:name w:val="Table Grid"/>
    <w:basedOn w:val="TableNormal"/>
    <w:uiPriority w:val="59"/>
    <w:rsid w:val="00A409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038BA"/>
    <w:rPr>
      <w:rFonts w:ascii="Tahoma" w:hAnsi="Tahoma" w:cs="Tahoma"/>
      <w:sz w:val="16"/>
      <w:szCs w:val="16"/>
    </w:rPr>
  </w:style>
  <w:style w:type="character" w:customStyle="1" w:styleId="BalloonTextChar">
    <w:name w:val="Balloon Text Char"/>
    <w:basedOn w:val="DefaultParagraphFont"/>
    <w:link w:val="BalloonText"/>
    <w:rsid w:val="001038BA"/>
    <w:rPr>
      <w:rFonts w:ascii="Tahom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848"/>
    <w:rPr>
      <w:rFonts w:ascii="Arial" w:hAnsi="Arial" w:cs="Arial"/>
      <w:lang w:val="en-GB" w:eastAsia="zh-CN"/>
    </w:rPr>
  </w:style>
  <w:style w:type="paragraph" w:styleId="Heading6">
    <w:name w:val="heading 6"/>
    <w:basedOn w:val="Normal"/>
    <w:next w:val="Normal"/>
    <w:qFormat/>
    <w:rsid w:val="001677F5"/>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rsid w:val="001677F5"/>
    <w:pPr>
      <w:pageBreakBefore/>
      <w:spacing w:before="480" w:after="280"/>
    </w:pPr>
    <w:rPr>
      <w:sz w:val="44"/>
      <w:szCs w:val="44"/>
    </w:rPr>
  </w:style>
  <w:style w:type="paragraph" w:styleId="TOC9">
    <w:name w:val="toc 9"/>
    <w:basedOn w:val="Normal"/>
    <w:next w:val="Normal"/>
    <w:autoRedefine/>
    <w:semiHidden/>
    <w:rsid w:val="001677F5"/>
    <w:pPr>
      <w:ind w:left="1600"/>
    </w:pPr>
  </w:style>
  <w:style w:type="paragraph" w:customStyle="1" w:styleId="SubHeading">
    <w:name w:val="Sub Heading"/>
    <w:basedOn w:val="Normal"/>
    <w:next w:val="Normal"/>
    <w:rsid w:val="001677F5"/>
    <w:pPr>
      <w:keepNext/>
      <w:spacing w:before="440" w:after="280"/>
    </w:pPr>
    <w:rPr>
      <w:b/>
      <w:bCs/>
      <w:sz w:val="24"/>
      <w:szCs w:val="24"/>
    </w:rPr>
  </w:style>
  <w:style w:type="paragraph" w:customStyle="1" w:styleId="NumberedSubHeading">
    <w:name w:val="Numbered Sub Heading"/>
    <w:basedOn w:val="Normal"/>
    <w:next w:val="Normal"/>
    <w:rsid w:val="001677F5"/>
    <w:pPr>
      <w:keepNext/>
      <w:numPr>
        <w:numId w:val="11"/>
      </w:numPr>
      <w:spacing w:before="440" w:after="40"/>
    </w:pPr>
    <w:rPr>
      <w:b/>
      <w:bCs/>
      <w:sz w:val="22"/>
      <w:szCs w:val="22"/>
    </w:rPr>
  </w:style>
  <w:style w:type="paragraph" w:customStyle="1" w:styleId="NumberedBodyText">
    <w:name w:val="Numbered Body Text"/>
    <w:basedOn w:val="Normal"/>
    <w:rsid w:val="001677F5"/>
    <w:pPr>
      <w:numPr>
        <w:ilvl w:val="1"/>
        <w:numId w:val="12"/>
      </w:numPr>
      <w:spacing w:before="180"/>
    </w:pPr>
  </w:style>
  <w:style w:type="paragraph" w:customStyle="1" w:styleId="NumberedParagraph">
    <w:name w:val="Numbered Paragraph"/>
    <w:basedOn w:val="Normal"/>
    <w:rsid w:val="001677F5"/>
    <w:pPr>
      <w:numPr>
        <w:numId w:val="13"/>
      </w:numPr>
      <w:spacing w:before="180"/>
    </w:pPr>
  </w:style>
  <w:style w:type="paragraph" w:customStyle="1" w:styleId="Bullet">
    <w:name w:val="Bullet"/>
    <w:basedOn w:val="Normal"/>
    <w:rsid w:val="001677F5"/>
    <w:pPr>
      <w:numPr>
        <w:numId w:val="14"/>
      </w:numPr>
      <w:tabs>
        <w:tab w:val="clear" w:pos="360"/>
        <w:tab w:val="num" w:pos="567"/>
      </w:tabs>
      <w:spacing w:before="180"/>
      <w:ind w:left="567" w:hanging="567"/>
    </w:pPr>
  </w:style>
  <w:style w:type="paragraph" w:styleId="Header">
    <w:name w:val="header"/>
    <w:basedOn w:val="Normal"/>
    <w:rsid w:val="00B21848"/>
    <w:pPr>
      <w:tabs>
        <w:tab w:val="center" w:pos="4153"/>
        <w:tab w:val="right" w:pos="8306"/>
      </w:tabs>
    </w:pPr>
  </w:style>
  <w:style w:type="paragraph" w:styleId="Footer">
    <w:name w:val="footer"/>
    <w:basedOn w:val="Normal"/>
    <w:rsid w:val="001677F5"/>
    <w:pPr>
      <w:tabs>
        <w:tab w:val="center" w:pos="4153"/>
        <w:tab w:val="right" w:pos="8306"/>
      </w:tabs>
    </w:pPr>
    <w:rPr>
      <w:sz w:val="12"/>
      <w:szCs w:val="12"/>
    </w:rPr>
  </w:style>
  <w:style w:type="character" w:styleId="Hyperlink">
    <w:name w:val="Hyperlink"/>
    <w:rsid w:val="00B21848"/>
    <w:rPr>
      <w:color w:val="0000FF"/>
      <w:u w:val="single"/>
    </w:rPr>
  </w:style>
  <w:style w:type="character" w:customStyle="1" w:styleId="apple-style-span">
    <w:name w:val="apple-style-span"/>
    <w:basedOn w:val="DefaultParagraphFont"/>
    <w:rsid w:val="00775BF9"/>
  </w:style>
  <w:style w:type="character" w:styleId="Strong">
    <w:name w:val="Strong"/>
    <w:qFormat/>
    <w:rsid w:val="00775BF9"/>
    <w:rPr>
      <w:b/>
      <w:bCs/>
    </w:rPr>
  </w:style>
  <w:style w:type="character" w:customStyle="1" w:styleId="apple-converted-space">
    <w:name w:val="apple-converted-space"/>
    <w:basedOn w:val="DefaultParagraphFont"/>
    <w:rsid w:val="00775BF9"/>
  </w:style>
  <w:style w:type="paragraph" w:styleId="NormalWeb">
    <w:name w:val="Normal (Web)"/>
    <w:basedOn w:val="Normal"/>
    <w:rsid w:val="00775BF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ertext">
    <w:name w:val="headertext"/>
    <w:basedOn w:val="DefaultParagraphFont"/>
    <w:rsid w:val="00775BF9"/>
  </w:style>
  <w:style w:type="paragraph" w:styleId="ListParagraph">
    <w:name w:val="List Paragraph"/>
    <w:basedOn w:val="Normal"/>
    <w:uiPriority w:val="34"/>
    <w:qFormat/>
    <w:rsid w:val="00236C90"/>
    <w:pPr>
      <w:spacing w:after="200" w:line="276" w:lineRule="auto"/>
      <w:ind w:left="720"/>
      <w:contextualSpacing/>
    </w:pPr>
    <w:rPr>
      <w:rFonts w:ascii="Calibri" w:eastAsia="Times New Roman" w:hAnsi="Calibri" w:cs="Times New Roman"/>
      <w:sz w:val="22"/>
      <w:szCs w:val="22"/>
      <w:lang w:val="en-US" w:eastAsia="en-US"/>
    </w:rPr>
  </w:style>
  <w:style w:type="table" w:styleId="TableGrid">
    <w:name w:val="Table Grid"/>
    <w:basedOn w:val="TableNormal"/>
    <w:uiPriority w:val="59"/>
    <w:rsid w:val="00A409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038BA"/>
    <w:rPr>
      <w:rFonts w:ascii="Tahoma" w:hAnsi="Tahoma" w:cs="Tahoma"/>
      <w:sz w:val="16"/>
      <w:szCs w:val="16"/>
    </w:rPr>
  </w:style>
  <w:style w:type="character" w:customStyle="1" w:styleId="BalloonTextChar">
    <w:name w:val="Balloon Text Char"/>
    <w:basedOn w:val="DefaultParagraphFont"/>
    <w:link w:val="BalloonText"/>
    <w:rsid w:val="001038BA"/>
    <w:rPr>
      <w:rFonts w:ascii="Tahom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169">
      <w:bodyDiv w:val="1"/>
      <w:marLeft w:val="0"/>
      <w:marRight w:val="0"/>
      <w:marTop w:val="0"/>
      <w:marBottom w:val="0"/>
      <w:divBdr>
        <w:top w:val="none" w:sz="0" w:space="0" w:color="auto"/>
        <w:left w:val="none" w:sz="0" w:space="0" w:color="auto"/>
        <w:bottom w:val="none" w:sz="0" w:space="0" w:color="auto"/>
        <w:right w:val="none" w:sz="0" w:space="0" w:color="auto"/>
      </w:divBdr>
    </w:div>
    <w:div w:id="20650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0AF7-98E7-452B-A5A2-05C14D69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1213</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olgabarnashova</dc:creator>
  <cp:lastModifiedBy>Zakharova, Maria (Ukraine)</cp:lastModifiedBy>
  <cp:revision>15</cp:revision>
  <cp:lastPrinted>2014-04-16T06:41:00Z</cp:lastPrinted>
  <dcterms:created xsi:type="dcterms:W3CDTF">2014-04-15T15:33:00Z</dcterms:created>
  <dcterms:modified xsi:type="dcterms:W3CDTF">2014-04-17T08:28:00Z</dcterms:modified>
</cp:coreProperties>
</file>